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中国国际贸易促进委员会唐山市委员会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年部门预算信息公开</w:t>
      </w:r>
    </w:p>
    <w:p>
      <w:pPr>
        <w:ind w:firstLine="640" w:firstLineChars="200"/>
        <w:rPr>
          <w:rFonts w:hint="eastAsia" w:ascii="黑体" w:hAnsi="黑体" w:eastAsia="黑体" w:cs="黑体"/>
          <w:sz w:val="32"/>
          <w:szCs w:val="32"/>
        </w:rPr>
      </w:pPr>
      <w:r>
        <w:rPr>
          <w:rFonts w:hint="eastAsia" w:ascii="仿宋" w:hAnsi="仿宋" w:eastAsia="仿宋" w:cs="仿宋_GB2312"/>
          <w:sz w:val="32"/>
          <w:szCs w:val="32"/>
        </w:rPr>
        <w:t>按照《预算法》、《地方预决算公开操作规程》和《河北省省级预算公开办法》规定，现将中国国际贸易促进委员会唐山市委员会20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年预算公开如下：</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一、部门职责和机构设置情况</w:t>
      </w:r>
    </w:p>
    <w:p>
      <w:pPr>
        <w:spacing w:line="560" w:lineRule="exact"/>
        <w:ind w:firstLine="643"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部门职责：</w:t>
      </w:r>
      <w:r>
        <w:rPr>
          <w:rFonts w:hint="eastAsia" w:ascii="方正仿宋简体" w:hAnsi="方正仿宋简体" w:eastAsia="方正仿宋简体" w:cs="方正仿宋简体"/>
          <w:sz w:val="32"/>
          <w:szCs w:val="32"/>
        </w:rPr>
        <w:t>根据《中国国际贸易促进委员会唐山市委员会职能配置、内设机构和人员编制方案》规定，中国国际贸易促进委员会唐山市委员会的主要职责是：</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（一）发展同世界各国、各地区经济贸易界、商协会和其他经贸团体以及有关国际经济贸易组织的联系；负责与国（境）外对口组织在我市设立的代表机构以及外国在我市设立的商会进行联络并开展交流工作。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（二）负责办理市内单位出国（境）举办经贸展览会的报批手续；组织参加赴国（境）外举办唐山市贸易展览会、经贸洽谈会、国际博览会。</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（三）安排、接待国外来我市举办的经济贸易或技术展览会。</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办理涉及国际经济贸易、海事及相关的法律事务。签发中国出口货物一般原产地证明书；认证对外贸易单据；代办申请领事认证；办理涉外经济贸易文件证明；代理我市企业在国外申请办理注册商标和专利，并提供相应的咨询服务；办理涉外商务咨信调查，调解涉外经济纠纷。</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（五）开展国内外经济贸易信息搜集、整理、传递和发布工作；承办中外经济技术合作项目的评估和可行性研究；提供涉外法律咨询、法律顾问工作。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（六）指导、协调我市县（市）区国际商会、行业国际商会的工作；负责对各分支机构及会员的服务和培训工作。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（七）负责协调与国际商会间交往的有关事宜。</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（八）办理市政府交办的其他事宜。</w:t>
      </w:r>
    </w:p>
    <w:p>
      <w:pPr>
        <w:spacing w:line="560" w:lineRule="exact"/>
        <w:ind w:firstLine="643" w:firstLineChars="200"/>
        <w:rPr>
          <w:rFonts w:hint="eastAsia" w:ascii="仿宋_GB2312" w:hAnsi="仿宋" w:eastAsia="仿宋_GB2312"/>
          <w:sz w:val="32"/>
          <w:szCs w:val="32"/>
          <w:lang w:eastAsia="zh-CN"/>
        </w:rPr>
      </w:pPr>
      <w:r>
        <w:rPr>
          <w:rFonts w:hint="eastAsia" w:ascii="方正仿宋简体" w:hAnsi="方正仿宋简体" w:eastAsia="方正仿宋简体" w:cs="方正仿宋简体"/>
          <w:b/>
          <w:sz w:val="32"/>
          <w:szCs w:val="32"/>
        </w:rPr>
        <w:t>机构设置：</w:t>
      </w:r>
      <w:r>
        <w:rPr>
          <w:rFonts w:hint="eastAsia" w:ascii="仿宋_GB2312" w:hAnsi="仿宋" w:eastAsia="仿宋_GB2312"/>
          <w:sz w:val="32"/>
          <w:szCs w:val="32"/>
        </w:rPr>
        <w:t>中国国际贸易促进委员会唐山市委员会为正</w:t>
      </w:r>
      <w:r>
        <w:rPr>
          <w:rFonts w:hint="eastAsia" w:ascii="仿宋_GB2312" w:hAnsi="仿宋" w:eastAsia="仿宋_GB2312"/>
          <w:sz w:val="32"/>
          <w:szCs w:val="32"/>
          <w:lang w:eastAsia="zh-CN"/>
        </w:rPr>
        <w:t>处</w:t>
      </w:r>
      <w:r>
        <w:rPr>
          <w:rFonts w:hint="eastAsia" w:ascii="仿宋_GB2312" w:hAnsi="仿宋" w:eastAsia="仿宋_GB2312"/>
          <w:sz w:val="32"/>
          <w:szCs w:val="32"/>
        </w:rPr>
        <w:t>级财政</w:t>
      </w:r>
      <w:r>
        <w:rPr>
          <w:rFonts w:hint="eastAsia" w:ascii="仿宋_GB2312" w:hAnsi="仿宋" w:eastAsia="仿宋_GB2312"/>
          <w:sz w:val="32"/>
          <w:szCs w:val="32"/>
          <w:lang w:eastAsia="zh-CN"/>
        </w:rPr>
        <w:t>拨款</w:t>
      </w:r>
      <w:r>
        <w:rPr>
          <w:rFonts w:hint="eastAsia" w:ascii="仿宋_GB2312" w:hAnsi="仿宋" w:eastAsia="仿宋_GB2312"/>
          <w:sz w:val="32"/>
          <w:szCs w:val="32"/>
        </w:rPr>
        <w:t>的参公单位</w:t>
      </w:r>
      <w:r>
        <w:rPr>
          <w:rFonts w:hint="eastAsia" w:ascii="仿宋_GB2312" w:hAnsi="仿宋" w:eastAsia="仿宋_GB2312"/>
          <w:sz w:val="32"/>
          <w:szCs w:val="32"/>
          <w:lang w:eastAsia="zh-CN"/>
        </w:rPr>
        <w:t>。</w:t>
      </w:r>
    </w:p>
    <w:p>
      <w:pPr>
        <w:spacing w:line="560" w:lineRule="exact"/>
        <w:ind w:firstLine="643" w:firstLineChars="200"/>
        <w:jc w:val="center"/>
        <w:rPr>
          <w:rFonts w:hint="eastAsia" w:ascii="仿宋_GB2312" w:hAnsi="仿宋" w:eastAsia="仿宋_GB2312"/>
          <w:b/>
          <w:bCs/>
          <w:sz w:val="32"/>
          <w:szCs w:val="32"/>
          <w:lang w:eastAsia="zh-CN"/>
        </w:rPr>
      </w:pPr>
      <w:r>
        <w:rPr>
          <w:rFonts w:hint="eastAsia" w:ascii="仿宋_GB2312" w:hAnsi="仿宋" w:eastAsia="仿宋_GB2312"/>
          <w:b/>
          <w:bCs/>
          <w:sz w:val="32"/>
          <w:szCs w:val="32"/>
          <w:lang w:eastAsia="zh-CN"/>
        </w:rPr>
        <w:t>部门机构设置情况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2350"/>
        <w:gridCol w:w="2350"/>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0" w:type="dxa"/>
            <w:noWrap w:val="0"/>
            <w:vAlign w:val="center"/>
          </w:tcPr>
          <w:p>
            <w:pPr>
              <w:spacing w:line="560" w:lineRule="exact"/>
              <w:jc w:val="center"/>
              <w:rPr>
                <w:rFonts w:hint="eastAsia" w:ascii="仿宋_GB2312" w:hAnsi="仿宋" w:eastAsia="仿宋_GB2312"/>
                <w:sz w:val="32"/>
                <w:szCs w:val="32"/>
                <w:vertAlign w:val="baseline"/>
                <w:lang w:eastAsia="zh-CN"/>
              </w:rPr>
            </w:pPr>
            <w:r>
              <w:rPr>
                <w:rFonts w:hint="eastAsia" w:ascii="仿宋_GB2312" w:hAnsi="仿宋" w:eastAsia="仿宋_GB2312"/>
                <w:sz w:val="32"/>
                <w:szCs w:val="32"/>
                <w:vertAlign w:val="baseline"/>
                <w:lang w:eastAsia="zh-CN"/>
              </w:rPr>
              <w:t>单位名称</w:t>
            </w:r>
          </w:p>
        </w:tc>
        <w:tc>
          <w:tcPr>
            <w:tcW w:w="2350" w:type="dxa"/>
            <w:noWrap w:val="0"/>
            <w:vAlign w:val="center"/>
          </w:tcPr>
          <w:p>
            <w:pPr>
              <w:spacing w:line="560" w:lineRule="exact"/>
              <w:jc w:val="center"/>
              <w:rPr>
                <w:rFonts w:hint="eastAsia" w:ascii="仿宋_GB2312" w:hAnsi="仿宋" w:eastAsia="仿宋_GB2312"/>
                <w:sz w:val="32"/>
                <w:szCs w:val="32"/>
                <w:vertAlign w:val="baseline"/>
                <w:lang w:eastAsia="zh-CN"/>
              </w:rPr>
            </w:pPr>
            <w:r>
              <w:rPr>
                <w:rFonts w:hint="eastAsia" w:ascii="仿宋_GB2312" w:hAnsi="仿宋" w:eastAsia="仿宋_GB2312"/>
                <w:sz w:val="32"/>
                <w:szCs w:val="32"/>
                <w:vertAlign w:val="baseline"/>
                <w:lang w:eastAsia="zh-CN"/>
              </w:rPr>
              <w:t>单位性质</w:t>
            </w:r>
          </w:p>
        </w:tc>
        <w:tc>
          <w:tcPr>
            <w:tcW w:w="2350" w:type="dxa"/>
            <w:noWrap w:val="0"/>
            <w:vAlign w:val="center"/>
          </w:tcPr>
          <w:p>
            <w:pPr>
              <w:spacing w:line="560" w:lineRule="exact"/>
              <w:jc w:val="center"/>
              <w:rPr>
                <w:rFonts w:hint="eastAsia" w:ascii="仿宋_GB2312" w:hAnsi="仿宋" w:eastAsia="仿宋_GB2312"/>
                <w:sz w:val="32"/>
                <w:szCs w:val="32"/>
                <w:vertAlign w:val="baseline"/>
                <w:lang w:eastAsia="zh-CN"/>
              </w:rPr>
            </w:pPr>
            <w:r>
              <w:rPr>
                <w:rFonts w:hint="eastAsia" w:ascii="仿宋_GB2312" w:hAnsi="仿宋" w:eastAsia="仿宋_GB2312"/>
                <w:sz w:val="32"/>
                <w:szCs w:val="32"/>
                <w:vertAlign w:val="baseline"/>
                <w:lang w:eastAsia="zh-CN"/>
              </w:rPr>
              <w:t>单位规格</w:t>
            </w:r>
          </w:p>
        </w:tc>
        <w:tc>
          <w:tcPr>
            <w:tcW w:w="2351" w:type="dxa"/>
            <w:noWrap w:val="0"/>
            <w:vAlign w:val="center"/>
          </w:tcPr>
          <w:p>
            <w:pPr>
              <w:spacing w:line="560" w:lineRule="exact"/>
              <w:jc w:val="center"/>
              <w:rPr>
                <w:rFonts w:hint="eastAsia" w:ascii="仿宋_GB2312" w:hAnsi="仿宋" w:eastAsia="仿宋_GB2312"/>
                <w:sz w:val="32"/>
                <w:szCs w:val="32"/>
                <w:vertAlign w:val="baseline"/>
                <w:lang w:eastAsia="zh-CN"/>
              </w:rPr>
            </w:pPr>
            <w:r>
              <w:rPr>
                <w:rFonts w:hint="eastAsia" w:ascii="仿宋_GB2312" w:hAnsi="仿宋" w:eastAsia="仿宋_GB2312"/>
                <w:sz w:val="32"/>
                <w:szCs w:val="32"/>
                <w:vertAlign w:val="baseline"/>
                <w:lang w:eastAsia="zh-CN"/>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0" w:type="dxa"/>
            <w:noWrap w:val="0"/>
            <w:vAlign w:val="center"/>
          </w:tcPr>
          <w:p>
            <w:pPr>
              <w:spacing w:line="560" w:lineRule="exact"/>
              <w:jc w:val="center"/>
              <w:rPr>
                <w:rFonts w:hint="eastAsia" w:ascii="仿宋_GB2312" w:hAnsi="仿宋" w:eastAsia="仿宋_GB2312"/>
                <w:sz w:val="32"/>
                <w:szCs w:val="32"/>
                <w:vertAlign w:val="baseline"/>
                <w:lang w:eastAsia="zh-CN"/>
              </w:rPr>
            </w:pPr>
            <w:r>
              <w:rPr>
                <w:rFonts w:hint="eastAsia" w:ascii="仿宋_GB2312" w:hAnsi="仿宋" w:eastAsia="仿宋_GB2312"/>
                <w:sz w:val="32"/>
                <w:szCs w:val="32"/>
              </w:rPr>
              <w:t>中国国际贸易促进委员会唐山市委员会</w:t>
            </w:r>
          </w:p>
        </w:tc>
        <w:tc>
          <w:tcPr>
            <w:tcW w:w="2350" w:type="dxa"/>
            <w:noWrap w:val="0"/>
            <w:vAlign w:val="center"/>
          </w:tcPr>
          <w:p>
            <w:pPr>
              <w:spacing w:line="560" w:lineRule="exact"/>
              <w:jc w:val="center"/>
              <w:rPr>
                <w:rFonts w:hint="eastAsia" w:ascii="仿宋_GB2312" w:hAnsi="仿宋" w:eastAsia="仿宋_GB2312"/>
                <w:sz w:val="32"/>
                <w:szCs w:val="32"/>
                <w:vertAlign w:val="baseline"/>
                <w:lang w:eastAsia="zh-CN"/>
              </w:rPr>
            </w:pPr>
            <w:r>
              <w:rPr>
                <w:rFonts w:hint="eastAsia" w:ascii="仿宋_GB2312" w:hAnsi="仿宋" w:eastAsia="仿宋_GB2312"/>
                <w:sz w:val="32"/>
                <w:szCs w:val="32"/>
                <w:vertAlign w:val="baseline"/>
                <w:lang w:eastAsia="zh-CN"/>
              </w:rPr>
              <w:t>参公</w:t>
            </w:r>
          </w:p>
        </w:tc>
        <w:tc>
          <w:tcPr>
            <w:tcW w:w="2350" w:type="dxa"/>
            <w:noWrap w:val="0"/>
            <w:vAlign w:val="center"/>
          </w:tcPr>
          <w:p>
            <w:pPr>
              <w:spacing w:line="560" w:lineRule="exact"/>
              <w:jc w:val="center"/>
              <w:rPr>
                <w:rFonts w:hint="eastAsia" w:ascii="仿宋_GB2312" w:hAnsi="仿宋" w:eastAsia="仿宋_GB2312"/>
                <w:sz w:val="32"/>
                <w:szCs w:val="32"/>
                <w:vertAlign w:val="baseline"/>
                <w:lang w:eastAsia="zh-CN"/>
              </w:rPr>
            </w:pPr>
            <w:r>
              <w:rPr>
                <w:rFonts w:hint="eastAsia" w:ascii="仿宋_GB2312" w:hAnsi="仿宋" w:eastAsia="仿宋_GB2312"/>
                <w:sz w:val="32"/>
                <w:szCs w:val="32"/>
                <w:vertAlign w:val="baseline"/>
                <w:lang w:eastAsia="zh-CN"/>
              </w:rPr>
              <w:t>正处级</w:t>
            </w:r>
          </w:p>
        </w:tc>
        <w:tc>
          <w:tcPr>
            <w:tcW w:w="2351" w:type="dxa"/>
            <w:noWrap w:val="0"/>
            <w:vAlign w:val="center"/>
          </w:tcPr>
          <w:p>
            <w:pPr>
              <w:spacing w:line="560" w:lineRule="exact"/>
              <w:jc w:val="center"/>
              <w:rPr>
                <w:rFonts w:hint="eastAsia" w:ascii="仿宋_GB2312" w:hAnsi="仿宋" w:eastAsia="仿宋_GB2312"/>
                <w:sz w:val="32"/>
                <w:szCs w:val="32"/>
                <w:vertAlign w:val="baseline"/>
                <w:lang w:eastAsia="zh-CN"/>
              </w:rPr>
            </w:pPr>
            <w:r>
              <w:rPr>
                <w:rFonts w:hint="eastAsia" w:ascii="仿宋_GB2312" w:hAnsi="仿宋" w:eastAsia="仿宋_GB2312"/>
                <w:sz w:val="32"/>
                <w:szCs w:val="32"/>
                <w:vertAlign w:val="baseline"/>
                <w:lang w:eastAsia="zh-CN"/>
              </w:rPr>
              <w:t>财政拨款</w:t>
            </w:r>
          </w:p>
        </w:tc>
      </w:tr>
    </w:tbl>
    <w:p>
      <w:pPr>
        <w:spacing w:line="560" w:lineRule="exact"/>
        <w:ind w:firstLine="640" w:firstLineChars="200"/>
        <w:rPr>
          <w:rFonts w:hint="eastAsia" w:ascii="方正仿宋简体" w:hAnsi="方正仿宋简体" w:eastAsia="方正仿宋简体" w:cs="方正仿宋简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二、部门预算安排总体情况</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按照预算管理有关规定，目前我会部门预算的编制实行综合预算制度，即全部收入和支出都反映的预算中。</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（一）收入预算说明</w:t>
      </w:r>
    </w:p>
    <w:p>
      <w:pPr>
        <w:spacing w:line="560" w:lineRule="exact"/>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val="en-US" w:eastAsia="zh-CN"/>
        </w:rPr>
        <w:t>020</w:t>
      </w:r>
      <w:r>
        <w:rPr>
          <w:rFonts w:hint="eastAsia" w:ascii="方正仿宋简体" w:hAnsi="方正仿宋简体" w:eastAsia="方正仿宋简体" w:cs="方正仿宋简体"/>
          <w:sz w:val="32"/>
          <w:szCs w:val="32"/>
        </w:rPr>
        <w:t>年，中国国际贸易促进委员会唐山市委员会预算收入总额为</w:t>
      </w:r>
      <w:r>
        <w:rPr>
          <w:rFonts w:hint="eastAsia" w:ascii="方正仿宋简体" w:hAnsi="方正仿宋简体" w:eastAsia="方正仿宋简体" w:cs="方正仿宋简体"/>
          <w:sz w:val="32"/>
          <w:szCs w:val="32"/>
          <w:lang w:val="en-US" w:eastAsia="zh-CN"/>
        </w:rPr>
        <w:t>198.57</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全部为一般公共预算收入。</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（二）支出预算说明</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w:t>
      </w:r>
      <w:r>
        <w:rPr>
          <w:rFonts w:hint="eastAsia" w:ascii="方正仿宋简体" w:hAnsi="方正仿宋简体" w:eastAsia="方正仿宋简体" w:cs="方正仿宋简体"/>
          <w:sz w:val="32"/>
          <w:szCs w:val="32"/>
          <w:lang w:val="en-US" w:eastAsia="zh-CN"/>
        </w:rPr>
        <w:t>20</w:t>
      </w:r>
      <w:r>
        <w:rPr>
          <w:rFonts w:hint="eastAsia" w:ascii="方正仿宋简体" w:hAnsi="方正仿宋简体" w:eastAsia="方正仿宋简体" w:cs="方正仿宋简体"/>
          <w:sz w:val="32"/>
          <w:szCs w:val="32"/>
        </w:rPr>
        <w:t>年，中国国际贸易促进委员会唐山市委员会预算支出总额为</w:t>
      </w:r>
      <w:r>
        <w:rPr>
          <w:rFonts w:hint="eastAsia" w:ascii="方正仿宋简体" w:hAnsi="方正仿宋简体" w:eastAsia="方正仿宋简体" w:cs="方正仿宋简体"/>
          <w:sz w:val="32"/>
          <w:szCs w:val="32"/>
          <w:lang w:val="en-US" w:eastAsia="zh-CN"/>
        </w:rPr>
        <w:t>198.57</w:t>
      </w:r>
      <w:r>
        <w:rPr>
          <w:rFonts w:hint="eastAsia" w:ascii="方正仿宋简体" w:hAnsi="方正仿宋简体" w:eastAsia="方正仿宋简体" w:cs="方正仿宋简体"/>
          <w:sz w:val="32"/>
          <w:szCs w:val="32"/>
        </w:rPr>
        <w:t>万元，其中基本支出</w:t>
      </w:r>
      <w:r>
        <w:rPr>
          <w:rFonts w:hint="eastAsia" w:ascii="方正仿宋简体" w:hAnsi="方正仿宋简体" w:eastAsia="方正仿宋简体" w:cs="方正仿宋简体"/>
          <w:sz w:val="32"/>
          <w:szCs w:val="32"/>
          <w:lang w:val="en-US" w:eastAsia="zh-CN"/>
        </w:rPr>
        <w:t>198.57</w:t>
      </w:r>
      <w:r>
        <w:rPr>
          <w:rFonts w:hint="eastAsia" w:ascii="方正仿宋简体" w:hAnsi="方正仿宋简体" w:eastAsia="方正仿宋简体" w:cs="方正仿宋简体"/>
          <w:sz w:val="32"/>
          <w:szCs w:val="32"/>
        </w:rPr>
        <w:t>万元（其中人员经费支出</w:t>
      </w:r>
      <w:r>
        <w:rPr>
          <w:rFonts w:hint="eastAsia" w:ascii="方正仿宋简体" w:hAnsi="方正仿宋简体" w:eastAsia="方正仿宋简体" w:cs="方正仿宋简体"/>
          <w:sz w:val="32"/>
          <w:szCs w:val="32"/>
          <w:lang w:val="en-US" w:eastAsia="zh-CN"/>
        </w:rPr>
        <w:t>145.72</w:t>
      </w:r>
      <w:r>
        <w:rPr>
          <w:rFonts w:hint="eastAsia" w:ascii="方正仿宋简体" w:hAnsi="方正仿宋简体" w:eastAsia="方正仿宋简体" w:cs="方正仿宋简体"/>
          <w:sz w:val="32"/>
          <w:szCs w:val="32"/>
        </w:rPr>
        <w:t>万元，公用经费支出</w:t>
      </w:r>
      <w:r>
        <w:rPr>
          <w:rFonts w:hint="eastAsia" w:ascii="方正仿宋简体" w:hAnsi="方正仿宋简体" w:eastAsia="方正仿宋简体" w:cs="方正仿宋简体"/>
          <w:sz w:val="32"/>
          <w:szCs w:val="32"/>
          <w:lang w:val="en-US" w:eastAsia="zh-CN"/>
        </w:rPr>
        <w:t>52.85</w:t>
      </w:r>
      <w:r>
        <w:rPr>
          <w:rFonts w:hint="eastAsia" w:ascii="方正仿宋简体" w:hAnsi="方正仿宋简体" w:eastAsia="方正仿宋简体" w:cs="方正仿宋简体"/>
          <w:sz w:val="32"/>
          <w:szCs w:val="32"/>
        </w:rPr>
        <w:t>万元）。</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（三）比上年增减情况</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与20</w:t>
      </w:r>
      <w:r>
        <w:rPr>
          <w:rFonts w:hint="eastAsia" w:ascii="方正仿宋简体" w:hAnsi="方正仿宋简体" w:eastAsia="方正仿宋简体" w:cs="方正仿宋简体"/>
          <w:sz w:val="32"/>
          <w:szCs w:val="32"/>
          <w:lang w:val="en-US" w:eastAsia="zh-CN"/>
        </w:rPr>
        <w:t>19</w:t>
      </w:r>
      <w:r>
        <w:rPr>
          <w:rFonts w:hint="eastAsia" w:ascii="方正仿宋简体" w:hAnsi="方正仿宋简体" w:eastAsia="方正仿宋简体" w:cs="方正仿宋简体"/>
          <w:sz w:val="32"/>
          <w:szCs w:val="32"/>
        </w:rPr>
        <w:t>年相比，20</w:t>
      </w:r>
      <w:r>
        <w:rPr>
          <w:rFonts w:hint="eastAsia" w:ascii="方正仿宋简体" w:hAnsi="方正仿宋简体" w:eastAsia="方正仿宋简体" w:cs="方正仿宋简体"/>
          <w:sz w:val="32"/>
          <w:szCs w:val="32"/>
          <w:lang w:val="en-US" w:eastAsia="zh-CN"/>
        </w:rPr>
        <w:t>20</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eastAsia="zh-CN"/>
        </w:rPr>
        <w:t>唐山市贸促</w:t>
      </w:r>
      <w:r>
        <w:rPr>
          <w:rFonts w:hint="eastAsia" w:ascii="方正仿宋简体" w:hAnsi="方正仿宋简体" w:eastAsia="方正仿宋简体" w:cs="方正仿宋简体"/>
          <w:sz w:val="32"/>
          <w:szCs w:val="32"/>
        </w:rPr>
        <w:t>会收支总预算</w:t>
      </w:r>
      <w:r>
        <w:rPr>
          <w:rFonts w:hint="eastAsia" w:ascii="方正仿宋简体" w:hAnsi="方正仿宋简体" w:eastAsia="方正仿宋简体" w:cs="方正仿宋简体"/>
          <w:sz w:val="32"/>
          <w:szCs w:val="32"/>
          <w:lang w:eastAsia="zh-CN"/>
        </w:rPr>
        <w:t>增加</w:t>
      </w:r>
      <w:r>
        <w:rPr>
          <w:rFonts w:hint="eastAsia" w:ascii="方正仿宋简体" w:hAnsi="方正仿宋简体" w:eastAsia="方正仿宋简体" w:cs="方正仿宋简体"/>
          <w:sz w:val="32"/>
          <w:szCs w:val="32"/>
          <w:lang w:val="en-US" w:eastAsia="zh-CN"/>
        </w:rPr>
        <w:t>0.33</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其中</w:t>
      </w:r>
      <w:r>
        <w:rPr>
          <w:rFonts w:hint="eastAsia" w:ascii="方正仿宋简体" w:hAnsi="方正仿宋简体" w:eastAsia="方正仿宋简体" w:cs="方正仿宋简体"/>
          <w:sz w:val="32"/>
          <w:szCs w:val="32"/>
        </w:rPr>
        <w:t>公用经费支出</w:t>
      </w:r>
      <w:r>
        <w:rPr>
          <w:rFonts w:hint="eastAsia" w:ascii="方正仿宋简体" w:hAnsi="方正仿宋简体" w:eastAsia="方正仿宋简体" w:cs="方正仿宋简体"/>
          <w:sz w:val="32"/>
          <w:szCs w:val="32"/>
          <w:lang w:eastAsia="zh-CN"/>
        </w:rPr>
        <w:t>减少</w:t>
      </w:r>
      <w:r>
        <w:rPr>
          <w:rFonts w:hint="eastAsia" w:ascii="方正仿宋简体" w:hAnsi="方正仿宋简体" w:eastAsia="方正仿宋简体" w:cs="方正仿宋简体"/>
          <w:sz w:val="32"/>
          <w:szCs w:val="32"/>
          <w:lang w:val="en-US" w:eastAsia="zh-CN"/>
        </w:rPr>
        <w:t>9.04</w:t>
      </w:r>
      <w:r>
        <w:rPr>
          <w:rFonts w:hint="eastAsia" w:ascii="方正仿宋简体" w:hAnsi="方正仿宋简体" w:eastAsia="方正仿宋简体" w:cs="方正仿宋简体"/>
          <w:sz w:val="32"/>
          <w:szCs w:val="32"/>
        </w:rPr>
        <w:t>万元，原因为</w:t>
      </w:r>
      <w:r>
        <w:rPr>
          <w:rFonts w:hint="eastAsia" w:ascii="方正仿宋简体" w:hAnsi="方正仿宋简体" w:eastAsia="方正仿宋简体" w:cs="方正仿宋简体"/>
          <w:sz w:val="32"/>
          <w:szCs w:val="32"/>
          <w:lang w:eastAsia="zh-CN"/>
        </w:rPr>
        <w:t>节约财政经费、压减办公支出</w:t>
      </w:r>
      <w:r>
        <w:rPr>
          <w:rFonts w:hint="eastAsia" w:ascii="方正仿宋简体" w:hAnsi="方正仿宋简体" w:eastAsia="方正仿宋简体" w:cs="方正仿宋简体"/>
          <w:sz w:val="32"/>
          <w:szCs w:val="32"/>
        </w:rPr>
        <w:t>，人员经费支出</w:t>
      </w:r>
      <w:r>
        <w:rPr>
          <w:rFonts w:hint="eastAsia" w:ascii="方正仿宋简体" w:hAnsi="方正仿宋简体" w:eastAsia="方正仿宋简体" w:cs="方正仿宋简体"/>
          <w:sz w:val="32"/>
          <w:szCs w:val="32"/>
          <w:lang w:eastAsia="zh-CN"/>
        </w:rPr>
        <w:t>增加</w:t>
      </w:r>
      <w:r>
        <w:rPr>
          <w:rFonts w:hint="eastAsia" w:ascii="方正仿宋简体" w:hAnsi="方正仿宋简体" w:eastAsia="方正仿宋简体" w:cs="方正仿宋简体"/>
          <w:sz w:val="32"/>
          <w:szCs w:val="32"/>
          <w:lang w:val="en-US" w:eastAsia="zh-CN"/>
        </w:rPr>
        <w:t>9.37</w:t>
      </w:r>
      <w:r>
        <w:rPr>
          <w:rFonts w:hint="eastAsia" w:ascii="方正仿宋简体" w:hAnsi="方正仿宋简体" w:eastAsia="方正仿宋简体" w:cs="方正仿宋简体"/>
          <w:sz w:val="32"/>
          <w:szCs w:val="32"/>
        </w:rPr>
        <w:t>万元，原因是</w:t>
      </w:r>
      <w:r>
        <w:rPr>
          <w:rFonts w:hint="eastAsia" w:ascii="方正仿宋简体" w:hAnsi="方正仿宋简体" w:eastAsia="方正仿宋简体" w:cs="方正仿宋简体"/>
          <w:sz w:val="32"/>
          <w:szCs w:val="32"/>
          <w:lang w:eastAsia="zh-CN"/>
        </w:rPr>
        <w:t>人员增加、工资调级调档、保险及公积金基数上调等因素</w:t>
      </w:r>
      <w:r>
        <w:rPr>
          <w:rFonts w:hint="eastAsia" w:ascii="方正仿宋简体" w:hAnsi="方正仿宋简体" w:eastAsia="方正仿宋简体" w:cs="方正仿宋简体"/>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三、机关运行经费安排情况</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w:t>
      </w:r>
      <w:r>
        <w:rPr>
          <w:rFonts w:hint="eastAsia" w:ascii="方正仿宋简体" w:hAnsi="方正仿宋简体" w:eastAsia="方正仿宋简体" w:cs="方正仿宋简体"/>
          <w:sz w:val="32"/>
          <w:szCs w:val="32"/>
          <w:lang w:val="en-US" w:eastAsia="zh-CN"/>
        </w:rPr>
        <w:t>20</w:t>
      </w:r>
      <w:r>
        <w:rPr>
          <w:rFonts w:hint="eastAsia" w:ascii="方正仿宋简体" w:hAnsi="方正仿宋简体" w:eastAsia="方正仿宋简体" w:cs="方正仿宋简体"/>
          <w:sz w:val="32"/>
          <w:szCs w:val="32"/>
        </w:rPr>
        <w:t>年我会机关运行经费预算为</w:t>
      </w:r>
      <w:r>
        <w:rPr>
          <w:rFonts w:hint="eastAsia" w:ascii="方正仿宋简体" w:hAnsi="方正仿宋简体" w:eastAsia="方正仿宋简体" w:cs="方正仿宋简体"/>
          <w:sz w:val="32"/>
          <w:szCs w:val="32"/>
          <w:lang w:val="en-US" w:eastAsia="zh-CN"/>
        </w:rPr>
        <w:t>52.85</w:t>
      </w:r>
      <w:r>
        <w:rPr>
          <w:rFonts w:hint="eastAsia" w:ascii="方正仿宋简体" w:hAnsi="方正仿宋简体" w:eastAsia="方正仿宋简体" w:cs="方正仿宋简体"/>
          <w:sz w:val="32"/>
          <w:szCs w:val="32"/>
        </w:rPr>
        <w:t>万元。机关运行经费是指各部门的公用经费，主要包括办公及印刷费、邮电费、差旅费、会议费、福利费、日常维修费、专用材料及一般设备购置费、办公用房水电费、办公用房取暖费、办公用房物业管理费、公务用车运行维护费以及其他费用等。比上年</w:t>
      </w:r>
      <w:r>
        <w:rPr>
          <w:rFonts w:hint="eastAsia" w:ascii="方正仿宋简体" w:hAnsi="方正仿宋简体" w:eastAsia="方正仿宋简体" w:cs="方正仿宋简体"/>
          <w:sz w:val="32"/>
          <w:szCs w:val="32"/>
          <w:lang w:eastAsia="zh-CN"/>
        </w:rPr>
        <w:t>减少</w:t>
      </w:r>
      <w:r>
        <w:rPr>
          <w:rFonts w:hint="eastAsia" w:ascii="方正仿宋简体" w:hAnsi="方正仿宋简体" w:eastAsia="方正仿宋简体" w:cs="方正仿宋简体"/>
          <w:sz w:val="32"/>
          <w:szCs w:val="32"/>
        </w:rPr>
        <w:t>了</w:t>
      </w:r>
      <w:r>
        <w:rPr>
          <w:rFonts w:hint="eastAsia" w:ascii="方正仿宋简体" w:hAnsi="方正仿宋简体" w:eastAsia="方正仿宋简体" w:cs="方正仿宋简体"/>
          <w:sz w:val="32"/>
          <w:szCs w:val="32"/>
          <w:lang w:val="en-US" w:eastAsia="zh-CN"/>
        </w:rPr>
        <w:t>9.37</w:t>
      </w:r>
      <w:r>
        <w:rPr>
          <w:rFonts w:hint="eastAsia" w:ascii="方正仿宋简体" w:hAnsi="方正仿宋简体" w:eastAsia="方正仿宋简体" w:cs="方正仿宋简体"/>
          <w:sz w:val="32"/>
          <w:szCs w:val="32"/>
        </w:rPr>
        <w:t>万元</w:t>
      </w:r>
      <w:bookmarkStart w:id="1" w:name="_GoBack"/>
      <w:bookmarkEnd w:id="1"/>
      <w:r>
        <w:rPr>
          <w:rFonts w:hint="eastAsia" w:ascii="方正仿宋简体" w:hAnsi="方正仿宋简体" w:eastAsia="方正仿宋简体" w:cs="方正仿宋简体"/>
          <w:sz w:val="32"/>
          <w:szCs w:val="32"/>
        </w:rPr>
        <w:t>，原因为</w:t>
      </w:r>
      <w:r>
        <w:rPr>
          <w:rFonts w:hint="eastAsia" w:ascii="方正仿宋简体" w:hAnsi="方正仿宋简体" w:eastAsia="方正仿宋简体" w:cs="方正仿宋简体"/>
          <w:sz w:val="32"/>
          <w:szCs w:val="32"/>
          <w:lang w:eastAsia="zh-CN"/>
        </w:rPr>
        <w:t>压减财政办公经费、节约开支</w:t>
      </w:r>
      <w:r>
        <w:rPr>
          <w:rFonts w:hint="eastAsia" w:ascii="方正仿宋简体" w:hAnsi="方正仿宋简体" w:eastAsia="方正仿宋简体" w:cs="方正仿宋简体"/>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四、财政拨款“三公”经费预算情况</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2020年我部门“三公”经费预算安排2.95万元，较2019年预算减少0.65万元。具体安排情况为：</w:t>
      </w:r>
    </w:p>
    <w:p>
      <w:pPr>
        <w:spacing w:line="560" w:lineRule="exact"/>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val="en-US" w:eastAsia="zh-CN"/>
        </w:rPr>
        <w:t>（一）公务用车购置及运行费。</w:t>
      </w:r>
      <w:r>
        <w:rPr>
          <w:rFonts w:hint="eastAsia" w:ascii="仿宋_GB2312" w:eastAsia="仿宋_GB2312"/>
          <w:sz w:val="32"/>
          <w:szCs w:val="32"/>
          <w:lang w:val="en-US" w:eastAsia="zh-CN"/>
        </w:rPr>
        <w:t>共计安排2.64万元，较去年减少0.66万元。</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1、公务用车购置0万元。与去年持平，原因是无公务用车购置计划。</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方正仿宋简体" w:hAnsi="方正仿宋简体" w:eastAsia="方正仿宋简体" w:cs="方正仿宋简体"/>
          <w:sz w:val="32"/>
          <w:szCs w:val="32"/>
        </w:rPr>
        <w:t>公务用车运行维护费用为</w:t>
      </w:r>
      <w:r>
        <w:rPr>
          <w:rFonts w:hint="eastAsia" w:ascii="方正仿宋简体" w:hAnsi="方正仿宋简体" w:eastAsia="方正仿宋简体" w:cs="方正仿宋简体"/>
          <w:sz w:val="32"/>
          <w:szCs w:val="32"/>
          <w:lang w:val="en-US" w:eastAsia="zh-CN"/>
        </w:rPr>
        <w:t>2.64</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比上年减少了</w:t>
      </w:r>
      <w:r>
        <w:rPr>
          <w:rFonts w:hint="eastAsia" w:ascii="方正仿宋简体" w:hAnsi="方正仿宋简体" w:eastAsia="方正仿宋简体" w:cs="方正仿宋简体"/>
          <w:sz w:val="32"/>
          <w:szCs w:val="32"/>
          <w:lang w:val="en-US" w:eastAsia="zh-CN"/>
        </w:rPr>
        <w:t>0.66，原因是压减财政三公经费、节约开支</w:t>
      </w:r>
      <w:r>
        <w:rPr>
          <w:rFonts w:hint="eastAsia" w:ascii="方正仿宋简体" w:hAnsi="方正仿宋简体" w:eastAsia="方正仿宋简体" w:cs="方正仿宋简体"/>
          <w:sz w:val="32"/>
          <w:szCs w:val="32"/>
        </w:rPr>
        <w:t>；</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eastAsia="zh-CN"/>
        </w:rPr>
        <w:t>（二）公务接待费。</w:t>
      </w:r>
      <w:r>
        <w:rPr>
          <w:rFonts w:hint="eastAsia" w:ascii="仿宋_GB2312" w:eastAsia="仿宋_GB2312"/>
          <w:sz w:val="32"/>
          <w:szCs w:val="32"/>
          <w:lang w:eastAsia="zh-CN"/>
        </w:rPr>
        <w:t>安排</w:t>
      </w:r>
      <w:r>
        <w:rPr>
          <w:rFonts w:hint="eastAsia" w:ascii="仿宋_GB2312" w:eastAsia="仿宋_GB2312"/>
          <w:sz w:val="32"/>
          <w:szCs w:val="32"/>
          <w:lang w:val="en-US" w:eastAsia="zh-CN"/>
        </w:rPr>
        <w:t>0.31万元，较上年预算增加0.01万元。</w:t>
      </w:r>
      <w:r>
        <w:rPr>
          <w:rFonts w:hint="eastAsia" w:ascii="仿宋_GB2312" w:eastAsia="仿宋_GB2312"/>
          <w:sz w:val="32"/>
          <w:szCs w:val="32"/>
        </w:rPr>
        <w:t>原因是按照财政相关标准按人数统一核算经费。</w:t>
      </w:r>
    </w:p>
    <w:p>
      <w:pPr>
        <w:spacing w:line="560" w:lineRule="exact"/>
        <w:ind w:firstLine="643" w:firstLineChars="200"/>
        <w:rPr>
          <w:rFonts w:hint="eastAsia" w:ascii="方正仿宋简体" w:hAnsi="方正仿宋简体" w:eastAsia="方正仿宋简体" w:cs="方正仿宋简体"/>
          <w:sz w:val="32"/>
          <w:szCs w:val="32"/>
        </w:rPr>
      </w:pPr>
      <w:r>
        <w:rPr>
          <w:rFonts w:hint="eastAsia" w:ascii="仿宋_GB2312" w:eastAsia="仿宋_GB2312"/>
          <w:b/>
          <w:bCs/>
          <w:sz w:val="32"/>
          <w:szCs w:val="32"/>
          <w:lang w:eastAsia="zh-CN"/>
        </w:rPr>
        <w:t>（三）因公出国（境）费。</w:t>
      </w:r>
      <w:r>
        <w:rPr>
          <w:rFonts w:hint="eastAsia" w:ascii="仿宋_GB2312" w:eastAsia="仿宋_GB2312"/>
          <w:sz w:val="32"/>
          <w:szCs w:val="32"/>
          <w:lang w:eastAsia="zh-CN"/>
        </w:rPr>
        <w:t>安排</w:t>
      </w:r>
      <w:r>
        <w:rPr>
          <w:rFonts w:hint="eastAsia" w:ascii="仿宋_GB2312" w:eastAsia="仿宋_GB2312"/>
          <w:sz w:val="32"/>
          <w:szCs w:val="32"/>
          <w:lang w:val="en-US" w:eastAsia="zh-CN"/>
        </w:rPr>
        <w:t>0万元，与去年持平。</w:t>
      </w:r>
      <w:r>
        <w:rPr>
          <w:rFonts w:hint="eastAsia" w:ascii="仿宋_GB2312" w:eastAsia="仿宋_GB2312"/>
          <w:sz w:val="32"/>
          <w:szCs w:val="32"/>
        </w:rPr>
        <w:t>原因是没有安排部门预算因公出国境费</w:t>
      </w:r>
      <w:r>
        <w:rPr>
          <w:rFonts w:hint="eastAsia" w:ascii="仿宋_GB2312" w:eastAsia="仿宋_GB2312"/>
          <w:sz w:val="32"/>
          <w:szCs w:val="32"/>
          <w:lang w:eastAsia="zh-CN"/>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五、绩效预算信息情况</w:t>
      </w:r>
    </w:p>
    <w:p>
      <w:pPr>
        <w:spacing w:line="360" w:lineRule="auto"/>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（一）总体绩效目标</w:t>
      </w:r>
    </w:p>
    <w:p>
      <w:pPr>
        <w:spacing w:line="360" w:lineRule="auto"/>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2020年计划完成在唐山举办各类会展活动力争达到66个；从京津两地引进成型展会3-4个落户唐山；第二十三届唐山中国陶瓷博览会力争实现到会的国内外采购商数量超过1270人；实现邀请国外商协会、企业经贸团组来唐达到20批次，来我市进行考察访问、项目推介；2021年，力争注册企业超过850家，企业共出具原产地证书力争突破11100份。</w:t>
      </w:r>
    </w:p>
    <w:p>
      <w:pPr>
        <w:numPr>
          <w:ilvl w:val="0"/>
          <w:numId w:val="1"/>
        </w:numPr>
        <w:spacing w:line="360" w:lineRule="auto"/>
        <w:ind w:firstLine="640" w:firstLineChars="200"/>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部门职责及工作活动绩效目标指标</w:t>
      </w:r>
    </w:p>
    <w:tbl>
      <w:tblPr>
        <w:tblStyle w:val="5"/>
        <w:tblpPr w:leftFromText="180" w:rightFromText="180" w:vertAnchor="text" w:horzAnchor="page" w:tblpX="1358" w:tblpY="8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805"/>
        <w:gridCol w:w="2131"/>
        <w:gridCol w:w="1234"/>
        <w:gridCol w:w="1019"/>
        <w:gridCol w:w="860"/>
        <w:gridCol w:w="716"/>
        <w:gridCol w:w="716"/>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04" w:type="dxa"/>
            <w:vMerge w:val="restart"/>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职责活动</w:t>
            </w:r>
          </w:p>
        </w:tc>
        <w:tc>
          <w:tcPr>
            <w:tcW w:w="805" w:type="dxa"/>
            <w:vMerge w:val="restart"/>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年度预算数</w:t>
            </w:r>
          </w:p>
        </w:tc>
        <w:tc>
          <w:tcPr>
            <w:tcW w:w="2131" w:type="dxa"/>
            <w:vMerge w:val="restart"/>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内容描述</w:t>
            </w:r>
          </w:p>
        </w:tc>
        <w:tc>
          <w:tcPr>
            <w:tcW w:w="1234" w:type="dxa"/>
            <w:vMerge w:val="restart"/>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绩效目标</w:t>
            </w:r>
          </w:p>
        </w:tc>
        <w:tc>
          <w:tcPr>
            <w:tcW w:w="1019" w:type="dxa"/>
            <w:vMerge w:val="restart"/>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绩效指标</w:t>
            </w:r>
          </w:p>
        </w:tc>
        <w:tc>
          <w:tcPr>
            <w:tcW w:w="3008" w:type="dxa"/>
            <w:gridSpan w:val="4"/>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04" w:type="dxa"/>
            <w:vMerge w:val="continue"/>
            <w:noWrap w:val="0"/>
            <w:vAlign w:val="center"/>
          </w:tcPr>
          <w:p>
            <w:pPr>
              <w:jc w:val="center"/>
              <w:rPr>
                <w:rFonts w:hint="eastAsia" w:ascii="方正仿宋简体" w:hAnsi="方正仿宋简体" w:eastAsia="方正仿宋简体" w:cs="方正仿宋简体"/>
                <w:sz w:val="24"/>
                <w:szCs w:val="24"/>
              </w:rPr>
            </w:pPr>
          </w:p>
        </w:tc>
        <w:tc>
          <w:tcPr>
            <w:tcW w:w="805" w:type="dxa"/>
            <w:vMerge w:val="continue"/>
            <w:noWrap w:val="0"/>
            <w:vAlign w:val="center"/>
          </w:tcPr>
          <w:p>
            <w:pPr>
              <w:jc w:val="center"/>
              <w:rPr>
                <w:rFonts w:hint="eastAsia" w:ascii="方正仿宋简体" w:hAnsi="方正仿宋简体" w:eastAsia="方正仿宋简体" w:cs="方正仿宋简体"/>
                <w:sz w:val="24"/>
                <w:szCs w:val="24"/>
              </w:rPr>
            </w:pPr>
          </w:p>
        </w:tc>
        <w:tc>
          <w:tcPr>
            <w:tcW w:w="2131" w:type="dxa"/>
            <w:vMerge w:val="continue"/>
            <w:noWrap w:val="0"/>
            <w:vAlign w:val="center"/>
          </w:tcPr>
          <w:p>
            <w:pPr>
              <w:jc w:val="center"/>
              <w:rPr>
                <w:rFonts w:hint="eastAsia" w:ascii="方正仿宋简体" w:hAnsi="方正仿宋简体" w:eastAsia="方正仿宋简体" w:cs="方正仿宋简体"/>
                <w:sz w:val="24"/>
                <w:szCs w:val="24"/>
              </w:rPr>
            </w:pPr>
          </w:p>
        </w:tc>
        <w:tc>
          <w:tcPr>
            <w:tcW w:w="1234" w:type="dxa"/>
            <w:vMerge w:val="continue"/>
            <w:noWrap w:val="0"/>
            <w:vAlign w:val="center"/>
          </w:tcPr>
          <w:p>
            <w:pPr>
              <w:jc w:val="center"/>
              <w:rPr>
                <w:rFonts w:hint="eastAsia" w:ascii="方正仿宋简体" w:hAnsi="方正仿宋简体" w:eastAsia="方正仿宋简体" w:cs="方正仿宋简体"/>
                <w:sz w:val="24"/>
                <w:szCs w:val="24"/>
              </w:rPr>
            </w:pPr>
          </w:p>
        </w:tc>
        <w:tc>
          <w:tcPr>
            <w:tcW w:w="1019" w:type="dxa"/>
            <w:vMerge w:val="continue"/>
            <w:noWrap w:val="0"/>
            <w:vAlign w:val="center"/>
          </w:tcPr>
          <w:p>
            <w:pPr>
              <w:jc w:val="center"/>
              <w:rPr>
                <w:rFonts w:hint="eastAsia" w:ascii="方正仿宋简体" w:hAnsi="方正仿宋简体" w:eastAsia="方正仿宋简体" w:cs="方正仿宋简体"/>
                <w:sz w:val="24"/>
                <w:szCs w:val="24"/>
              </w:rPr>
            </w:pPr>
          </w:p>
        </w:tc>
        <w:tc>
          <w:tcPr>
            <w:tcW w:w="860"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优</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良</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中</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noWrap w:val="0"/>
            <w:vAlign w:val="center"/>
          </w:tcPr>
          <w:p>
            <w:pPr>
              <w:ind w:firstLine="480" w:firstLineChars="2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 原产地证明书工作经费</w:t>
            </w:r>
            <w:r>
              <w:rPr>
                <w:rFonts w:hint="eastAsia" w:ascii="方正仿宋简体" w:hAnsi="方正仿宋简体" w:eastAsia="方正仿宋简体" w:cs="方正仿宋简体"/>
                <w:sz w:val="24"/>
                <w:szCs w:val="24"/>
                <w:lang w:val="en-US" w:eastAsia="zh-CN"/>
              </w:rPr>
              <w:t>5.5</w:t>
            </w:r>
            <w:r>
              <w:rPr>
                <w:rFonts w:hint="eastAsia" w:ascii="方正仿宋简体" w:hAnsi="方正仿宋简体" w:eastAsia="方正仿宋简体" w:cs="方正仿宋简体"/>
                <w:sz w:val="24"/>
                <w:szCs w:val="24"/>
              </w:rPr>
              <w:t>万元；</w:t>
            </w:r>
          </w:p>
          <w:p>
            <w:pPr>
              <w:jc w:val="center"/>
              <w:rPr>
                <w:rFonts w:hint="eastAsia" w:ascii="方正仿宋简体" w:hAnsi="方正仿宋简体" w:eastAsia="方正仿宋简体" w:cs="方正仿宋简体"/>
                <w:sz w:val="24"/>
                <w:szCs w:val="24"/>
              </w:rPr>
            </w:pPr>
          </w:p>
        </w:tc>
        <w:tc>
          <w:tcPr>
            <w:tcW w:w="805" w:type="dxa"/>
            <w:noWrap w:val="0"/>
            <w:vAlign w:val="center"/>
          </w:tcPr>
          <w:p>
            <w:pPr>
              <w:jc w:val="center"/>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5.5</w:t>
            </w:r>
          </w:p>
        </w:tc>
        <w:tc>
          <w:tcPr>
            <w:tcW w:w="2131" w:type="dxa"/>
            <w:noWrap w:val="0"/>
            <w:vAlign w:val="center"/>
          </w:tcPr>
          <w:p>
            <w:pPr>
              <w:ind w:firstLine="480" w:firstLineChars="2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color w:val="000000"/>
                <w:kern w:val="0"/>
                <w:sz w:val="24"/>
                <w:szCs w:val="24"/>
              </w:rPr>
              <w:t>根据财政部、国家发展改革委财税（2014）101号文件规定，自2015年1月1日起，中国贸促会及地方贸促会对出口货物发货人签发出口货物原厂地证书时，免收货物原产地证书费。取消收费后，由我单位负责费用为企业打印出口货物原产地证明书。预计我会2020年签发原产地证书11000份，使用ECO电子签证后，墨盒均为全国统一要求专用彩色墨盒、专用打印机、及专用纸张，使我单位法律处办公成本大大增加，耗材费用增加0.0005*11000份=5.5万元。特申请该项费用，用于弥补该项办公费用。</w:t>
            </w:r>
          </w:p>
        </w:tc>
        <w:tc>
          <w:tcPr>
            <w:tcW w:w="1234"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保障我市出口企业办理原产地证明书，以便企业通关结汇。</w:t>
            </w:r>
          </w:p>
        </w:tc>
        <w:tc>
          <w:tcPr>
            <w:tcW w:w="1019"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确保我市</w:t>
            </w:r>
            <w:r>
              <w:rPr>
                <w:rFonts w:hint="eastAsia" w:ascii="方正仿宋简体" w:hAnsi="方正仿宋简体" w:eastAsia="方正仿宋简体" w:cs="方正仿宋简体"/>
                <w:sz w:val="24"/>
                <w:szCs w:val="24"/>
                <w:lang w:val="en-US" w:eastAsia="zh-CN"/>
              </w:rPr>
              <w:t>180</w:t>
            </w:r>
            <w:r>
              <w:rPr>
                <w:rFonts w:hint="eastAsia" w:ascii="方正仿宋简体" w:hAnsi="方正仿宋简体" w:eastAsia="方正仿宋简体" w:cs="方正仿宋简体"/>
                <w:sz w:val="24"/>
                <w:szCs w:val="24"/>
              </w:rPr>
              <w:t>家以上外贸企业的一般原产地证及优惠原产地证的出证业务顺利办理。</w:t>
            </w:r>
          </w:p>
        </w:tc>
        <w:tc>
          <w:tcPr>
            <w:tcW w:w="860"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≧100%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≧90%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noWrap w:val="0"/>
            <w:vAlign w:val="center"/>
          </w:tcPr>
          <w:p>
            <w:pPr>
              <w:ind w:firstLine="480" w:firstLineChars="2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 涉外商事法律援助资金</w:t>
            </w:r>
            <w:r>
              <w:rPr>
                <w:rFonts w:hint="eastAsia" w:ascii="方正仿宋简体" w:hAnsi="方正仿宋简体" w:eastAsia="方正仿宋简体" w:cs="方正仿宋简体"/>
                <w:sz w:val="24"/>
                <w:szCs w:val="24"/>
                <w:lang w:val="en-US" w:eastAsia="zh-CN"/>
              </w:rPr>
              <w:t>1.30</w:t>
            </w:r>
            <w:r>
              <w:rPr>
                <w:rFonts w:hint="eastAsia" w:ascii="方正仿宋简体" w:hAnsi="方正仿宋简体" w:eastAsia="方正仿宋简体" w:cs="方正仿宋简体"/>
                <w:sz w:val="24"/>
                <w:szCs w:val="24"/>
              </w:rPr>
              <w:t>万元；</w:t>
            </w:r>
          </w:p>
          <w:p>
            <w:pPr>
              <w:jc w:val="center"/>
              <w:rPr>
                <w:rFonts w:hint="eastAsia" w:ascii="方正仿宋简体" w:hAnsi="方正仿宋简体" w:eastAsia="方正仿宋简体" w:cs="方正仿宋简体"/>
                <w:sz w:val="24"/>
                <w:szCs w:val="24"/>
              </w:rPr>
            </w:pPr>
          </w:p>
        </w:tc>
        <w:tc>
          <w:tcPr>
            <w:tcW w:w="805" w:type="dxa"/>
            <w:noWrap w:val="0"/>
            <w:vAlign w:val="center"/>
          </w:tcPr>
          <w:p>
            <w:pPr>
              <w:jc w:val="center"/>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1.30</w:t>
            </w:r>
          </w:p>
        </w:tc>
        <w:tc>
          <w:tcPr>
            <w:tcW w:w="2131" w:type="dxa"/>
            <w:noWrap w:val="0"/>
            <w:vAlign w:val="center"/>
          </w:tcPr>
          <w:p>
            <w:pPr>
              <w:widowControl/>
              <w:jc w:val="lef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（1）法律援助服务，是我单位为了更好的服务于外贸企业而开展的一项重要业务，在实际工作中，会产生一些办公费用，所以特申请用于法律援助业务产生的办公费0.59万元。</w:t>
            </w:r>
          </w:p>
          <w:p>
            <w:pPr>
              <w:widowControl/>
              <w:jc w:val="lef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（2）用于我会采取“敦促履约”方式为企业追缴欠款所发生的费用0.</w:t>
            </w:r>
            <w:r>
              <w:rPr>
                <w:rFonts w:hint="eastAsia" w:ascii="方正仿宋简体" w:hAnsi="方正仿宋简体" w:eastAsia="方正仿宋简体" w:cs="方正仿宋简体"/>
                <w:color w:val="000000"/>
                <w:kern w:val="0"/>
                <w:sz w:val="24"/>
                <w:szCs w:val="24"/>
                <w:lang w:val="en-US" w:eastAsia="zh-CN"/>
              </w:rPr>
              <w:t>56</w:t>
            </w:r>
            <w:r>
              <w:rPr>
                <w:rFonts w:hint="eastAsia" w:ascii="方正仿宋简体" w:hAnsi="方正仿宋简体" w:eastAsia="方正仿宋简体" w:cs="方正仿宋简体"/>
                <w:color w:val="000000"/>
                <w:kern w:val="0"/>
                <w:sz w:val="24"/>
                <w:szCs w:val="24"/>
              </w:rPr>
              <w:t>万元。包括与国外商协会、使领馆、外商联系所发生的国际长途（传真）费用、往返北京、石家庄的差旅费、咨询律师和聘请律师费用、赴企业调查核实费用等。如果在案件初期能够采用调解的方式达成和解，将会为企业节省大量的费用，如果和解不成功就要采取仲裁或者诉讼的方式来进行，此时企业将承担一定数额的费用，众多中小企业望而怯步，选择放弃。如果对其进行适当援助，将能最大限度的减轻企业的压力，促使其拿起法律武器来维护自己的合法权益。</w:t>
            </w:r>
          </w:p>
          <w:p>
            <w:pP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color w:val="000000"/>
                <w:kern w:val="0"/>
                <w:sz w:val="24"/>
                <w:szCs w:val="24"/>
              </w:rPr>
              <w:t>（3）用于援助企业聘请律师、进行调解、仲裁或诉讼等产生的费用0.15万元。为了更好的服务企业，我会人员需要参加全国性的法律专业培训、购买相关的法律书籍，印刷相关的法律宣传材料，从而让更多的中小企业了解如何在进出口业务中维护自己的权益。</w:t>
            </w:r>
          </w:p>
          <w:p>
            <w:pPr>
              <w:rPr>
                <w:rFonts w:hint="eastAsia" w:ascii="方正仿宋简体" w:hAnsi="方正仿宋简体" w:eastAsia="方正仿宋简体" w:cs="方正仿宋简体"/>
                <w:sz w:val="24"/>
                <w:szCs w:val="24"/>
              </w:rPr>
            </w:pPr>
          </w:p>
        </w:tc>
        <w:tc>
          <w:tcPr>
            <w:tcW w:w="1234" w:type="dxa"/>
            <w:noWrap w:val="0"/>
            <w:vAlign w:val="center"/>
          </w:tcPr>
          <w:p>
            <w:pPr>
              <w:ind w:firstLine="480" w:firstLineChars="2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通过贸促会系统资源优势，采取“敦促履约”的方式，帮助企业应对现阶段严峻的外贸形势。</w:t>
            </w:r>
          </w:p>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随着中美贸易摩擦的不断升级，加大援助力度，维护我市外贸企业的正当利益。</w:t>
            </w:r>
          </w:p>
        </w:tc>
        <w:tc>
          <w:tcPr>
            <w:tcW w:w="1019"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解答企业法律咨询15次以上，发布预警信息20次以上，参加法律业务培训1次以上。</w:t>
            </w:r>
          </w:p>
        </w:tc>
        <w:tc>
          <w:tcPr>
            <w:tcW w:w="860"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≧100%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≧90%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3" w:hRule="atLeast"/>
        </w:trPr>
        <w:tc>
          <w:tcPr>
            <w:tcW w:w="1204" w:type="dxa"/>
            <w:noWrap w:val="0"/>
            <w:vAlign w:val="center"/>
          </w:tcPr>
          <w:p>
            <w:pPr>
              <w:ind w:firstLine="480" w:firstLineChars="2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 会展办公室经费</w:t>
            </w:r>
            <w:r>
              <w:rPr>
                <w:rFonts w:hint="eastAsia" w:ascii="方正仿宋简体" w:hAnsi="方正仿宋简体" w:eastAsia="方正仿宋简体" w:cs="方正仿宋简体"/>
                <w:sz w:val="24"/>
                <w:szCs w:val="24"/>
                <w:lang w:val="en-US" w:eastAsia="zh-CN"/>
              </w:rPr>
              <w:t>11.24</w:t>
            </w:r>
            <w:r>
              <w:rPr>
                <w:rFonts w:hint="eastAsia" w:ascii="方正仿宋简体" w:hAnsi="方正仿宋简体" w:eastAsia="方正仿宋简体" w:cs="方正仿宋简体"/>
                <w:sz w:val="24"/>
                <w:szCs w:val="24"/>
              </w:rPr>
              <w:t>万元；</w:t>
            </w:r>
          </w:p>
          <w:p>
            <w:pPr>
              <w:jc w:val="center"/>
              <w:rPr>
                <w:rFonts w:hint="eastAsia" w:ascii="方正仿宋简体" w:hAnsi="方正仿宋简体" w:eastAsia="方正仿宋简体" w:cs="方正仿宋简体"/>
                <w:sz w:val="24"/>
                <w:szCs w:val="24"/>
              </w:rPr>
            </w:pPr>
          </w:p>
        </w:tc>
        <w:tc>
          <w:tcPr>
            <w:tcW w:w="805" w:type="dxa"/>
            <w:noWrap w:val="0"/>
            <w:vAlign w:val="center"/>
          </w:tcPr>
          <w:p>
            <w:pPr>
              <w:jc w:val="center"/>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11.24</w:t>
            </w:r>
          </w:p>
        </w:tc>
        <w:tc>
          <w:tcPr>
            <w:tcW w:w="2131" w:type="dxa"/>
            <w:noWrap w:val="0"/>
            <w:vAlign w:val="center"/>
          </w:tcPr>
          <w:p>
            <w:pPr>
              <w:ind w:firstLine="480" w:firstLineChars="2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唐山市会展办公室主要工作任务是代表政府负责唐山中国陶瓷博览会筹备和组织实施中应由政府承担的工作；代表唐山市政府培育、扶植、指导、管理各类展会；负责研究制订全市会展业发展的中长期规划；负责研究制订发展全市会展产业的有关规章制度；负责培育我市的展览市场；对全市展览提供指导、服务及展览市场的规范和管理；按照我市的地位优势，谋划适合我市发展的定期和不定期展会；负责组织实施我市行业和企业参与国家级、省级或其他地区的展会工作；负责组织协调上级或有关展览机构来我市举办各类展洽活动；负责组织、协调我市企业出国（境）出展工作。</w:t>
            </w:r>
          </w:p>
          <w:p>
            <w:pPr>
              <w:ind w:firstLine="480" w:firstLineChars="200"/>
              <w:rPr>
                <w:rFonts w:hint="eastAsia" w:ascii="方正仿宋简体" w:hAnsi="方正仿宋简体" w:eastAsia="方正仿宋简体" w:cs="方正仿宋简体"/>
                <w:sz w:val="24"/>
                <w:szCs w:val="24"/>
              </w:rPr>
            </w:pPr>
          </w:p>
          <w:p>
            <w:pPr>
              <w:ind w:firstLine="480" w:firstLineChars="200"/>
              <w:rPr>
                <w:rFonts w:hint="eastAsia" w:ascii="方正仿宋简体" w:hAnsi="方正仿宋简体" w:eastAsia="方正仿宋简体" w:cs="方正仿宋简体"/>
                <w:sz w:val="24"/>
                <w:szCs w:val="24"/>
              </w:rPr>
            </w:pPr>
          </w:p>
        </w:tc>
        <w:tc>
          <w:tcPr>
            <w:tcW w:w="1234"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以全面提升会展业“三化”水平为抓手，发展壮大唐山会展经济，努力将唐山打造成环渤海地区的会展中心城市，将会展业打造成为带动城市经济发展的新引擎。</w:t>
            </w:r>
          </w:p>
        </w:tc>
        <w:tc>
          <w:tcPr>
            <w:tcW w:w="1019"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1.全年会展数量达到</w:t>
            </w:r>
            <w:r>
              <w:rPr>
                <w:rFonts w:hint="eastAsia" w:ascii="方正仿宋简体" w:hAnsi="方正仿宋简体" w:eastAsia="方正仿宋简体" w:cs="方正仿宋简体"/>
                <w:sz w:val="24"/>
                <w:szCs w:val="24"/>
                <w:lang w:val="en-US" w:eastAsia="zh-CN"/>
              </w:rPr>
              <w:t>75</w:t>
            </w:r>
            <w:r>
              <w:rPr>
                <w:rFonts w:hint="eastAsia" w:ascii="方正仿宋简体" w:hAnsi="方正仿宋简体" w:eastAsia="方正仿宋简体" w:cs="方正仿宋简体"/>
                <w:sz w:val="24"/>
                <w:szCs w:val="24"/>
              </w:rPr>
              <w:t>个以上。</w:t>
            </w:r>
          </w:p>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2.参加2个以上会展行业高峰论坛，推荐唐山会展。</w:t>
            </w:r>
          </w:p>
        </w:tc>
        <w:tc>
          <w:tcPr>
            <w:tcW w:w="860"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≧100%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≧90%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7" w:hRule="atLeast"/>
        </w:trPr>
        <w:tc>
          <w:tcPr>
            <w:tcW w:w="1204" w:type="dxa"/>
            <w:noWrap w:val="0"/>
            <w:vAlign w:val="center"/>
          </w:tcPr>
          <w:p>
            <w:pPr>
              <w:ind w:firstLine="480" w:firstLineChars="2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  法律培训会议</w:t>
            </w:r>
            <w:r>
              <w:rPr>
                <w:rFonts w:hint="eastAsia" w:ascii="方正仿宋简体" w:hAnsi="方正仿宋简体" w:eastAsia="方正仿宋简体" w:cs="方正仿宋简体"/>
                <w:sz w:val="24"/>
                <w:szCs w:val="24"/>
                <w:lang w:val="en-US" w:eastAsia="zh-CN"/>
              </w:rPr>
              <w:t>1.74</w:t>
            </w:r>
            <w:r>
              <w:rPr>
                <w:rFonts w:hint="eastAsia" w:ascii="方正仿宋简体" w:hAnsi="方正仿宋简体" w:eastAsia="方正仿宋简体" w:cs="方正仿宋简体"/>
                <w:sz w:val="24"/>
                <w:szCs w:val="24"/>
              </w:rPr>
              <w:t>万元；</w:t>
            </w:r>
          </w:p>
          <w:p>
            <w:pPr>
              <w:jc w:val="center"/>
              <w:rPr>
                <w:rFonts w:hint="eastAsia" w:ascii="方正仿宋简体" w:hAnsi="方正仿宋简体" w:eastAsia="方正仿宋简体" w:cs="方正仿宋简体"/>
                <w:sz w:val="24"/>
                <w:szCs w:val="24"/>
              </w:rPr>
            </w:pPr>
          </w:p>
        </w:tc>
        <w:tc>
          <w:tcPr>
            <w:tcW w:w="805" w:type="dxa"/>
            <w:noWrap w:val="0"/>
            <w:vAlign w:val="center"/>
          </w:tcPr>
          <w:p>
            <w:pPr>
              <w:jc w:val="center"/>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1.74</w:t>
            </w:r>
          </w:p>
        </w:tc>
        <w:tc>
          <w:tcPr>
            <w:tcW w:w="2131" w:type="dxa"/>
            <w:noWrap w:val="0"/>
            <w:vAlign w:val="center"/>
          </w:tcPr>
          <w:p>
            <w:pPr>
              <w:ind w:firstLine="480" w:firstLineChars="2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会议内容为：注册外贸企业出证认证实务及涉外商事法律培训等，培训人员范围：在我会办理原产地证明书的企业工作人员及其他商贸企业代表等。</w:t>
            </w:r>
          </w:p>
        </w:tc>
        <w:tc>
          <w:tcPr>
            <w:tcW w:w="1234"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提高我市外贸企业涉外商事法律业务知识，提高企业人员业务技能，推广“零跑腿”的业务方式，切实减轻企业负担，提高办事效率。</w:t>
            </w:r>
          </w:p>
        </w:tc>
        <w:tc>
          <w:tcPr>
            <w:tcW w:w="1019"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组织我市外贸出口企业培训1次以上，参会企业代表不少于</w:t>
            </w:r>
            <w:r>
              <w:rPr>
                <w:rFonts w:hint="eastAsia" w:ascii="方正仿宋简体" w:hAnsi="方正仿宋简体" w:eastAsia="方正仿宋简体" w:cs="方正仿宋简体"/>
                <w:sz w:val="24"/>
                <w:szCs w:val="24"/>
                <w:lang w:val="en-US" w:eastAsia="zh-CN"/>
              </w:rPr>
              <w:t>160</w:t>
            </w:r>
            <w:r>
              <w:rPr>
                <w:rFonts w:hint="eastAsia" w:ascii="方正仿宋简体" w:hAnsi="方正仿宋简体" w:eastAsia="方正仿宋简体" w:cs="方正仿宋简体"/>
                <w:sz w:val="24"/>
                <w:szCs w:val="24"/>
              </w:rPr>
              <w:t>人。</w:t>
            </w:r>
          </w:p>
          <w:p>
            <w:pPr>
              <w:jc w:val="center"/>
              <w:rPr>
                <w:rFonts w:hint="eastAsia" w:ascii="方正仿宋简体" w:hAnsi="方正仿宋简体" w:eastAsia="方正仿宋简体" w:cs="方正仿宋简体"/>
                <w:sz w:val="24"/>
                <w:szCs w:val="24"/>
              </w:rPr>
            </w:pPr>
          </w:p>
        </w:tc>
        <w:tc>
          <w:tcPr>
            <w:tcW w:w="860"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≧100%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≧90%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4" w:type="dxa"/>
            <w:noWrap w:val="0"/>
            <w:vAlign w:val="center"/>
          </w:tcPr>
          <w:p>
            <w:pPr>
              <w:ind w:firstLine="480" w:firstLineChars="2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5. 商会工作会议</w:t>
            </w:r>
            <w:r>
              <w:rPr>
                <w:rFonts w:hint="eastAsia" w:ascii="方正仿宋简体" w:hAnsi="方正仿宋简体" w:eastAsia="方正仿宋简体" w:cs="方正仿宋简体"/>
                <w:sz w:val="24"/>
                <w:szCs w:val="24"/>
                <w:lang w:val="en-US" w:eastAsia="zh-CN"/>
              </w:rPr>
              <w:t>1.37</w:t>
            </w:r>
            <w:r>
              <w:rPr>
                <w:rFonts w:hint="eastAsia" w:ascii="方正仿宋简体" w:hAnsi="方正仿宋简体" w:eastAsia="方正仿宋简体" w:cs="方正仿宋简体"/>
                <w:sz w:val="24"/>
                <w:szCs w:val="24"/>
              </w:rPr>
              <w:t>万元。</w:t>
            </w:r>
          </w:p>
          <w:p>
            <w:pPr>
              <w:jc w:val="center"/>
              <w:rPr>
                <w:rFonts w:hint="eastAsia" w:ascii="方正仿宋简体" w:hAnsi="方正仿宋简体" w:eastAsia="方正仿宋简体" w:cs="方正仿宋简体"/>
                <w:sz w:val="24"/>
                <w:szCs w:val="24"/>
              </w:rPr>
            </w:pPr>
          </w:p>
        </w:tc>
        <w:tc>
          <w:tcPr>
            <w:tcW w:w="805" w:type="dxa"/>
            <w:noWrap w:val="0"/>
            <w:vAlign w:val="center"/>
          </w:tcPr>
          <w:p>
            <w:pPr>
              <w:jc w:val="center"/>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1.37</w:t>
            </w:r>
          </w:p>
        </w:tc>
        <w:tc>
          <w:tcPr>
            <w:tcW w:w="2131" w:type="dxa"/>
            <w:noWrap w:val="0"/>
            <w:vAlign w:val="center"/>
          </w:tcPr>
          <w:p>
            <w:pPr>
              <w:ind w:firstLine="480" w:firstLineChars="20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会议内容：总结唐山市国际商会20</w:t>
            </w:r>
            <w:r>
              <w:rPr>
                <w:rFonts w:hint="eastAsia" w:ascii="方正仿宋简体" w:hAnsi="方正仿宋简体" w:eastAsia="方正仿宋简体" w:cs="方正仿宋简体"/>
                <w:sz w:val="24"/>
                <w:szCs w:val="24"/>
                <w:lang w:val="en-US" w:eastAsia="zh-CN"/>
              </w:rPr>
              <w:t>19</w:t>
            </w:r>
            <w:r>
              <w:rPr>
                <w:rFonts w:hint="eastAsia" w:ascii="方正仿宋简体" w:hAnsi="方正仿宋简体" w:eastAsia="方正仿宋简体" w:cs="方正仿宋简体"/>
                <w:sz w:val="24"/>
                <w:szCs w:val="24"/>
              </w:rPr>
              <w:t>年工作，展望20</w:t>
            </w:r>
            <w:r>
              <w:rPr>
                <w:rFonts w:hint="eastAsia" w:ascii="方正仿宋简体" w:hAnsi="方正仿宋简体" w:eastAsia="方正仿宋简体" w:cs="方正仿宋简体"/>
                <w:sz w:val="24"/>
                <w:szCs w:val="24"/>
                <w:lang w:val="en-US" w:eastAsia="zh-CN"/>
              </w:rPr>
              <w:t>20</w:t>
            </w:r>
            <w:r>
              <w:rPr>
                <w:rFonts w:hint="eastAsia" w:ascii="方正仿宋简体" w:hAnsi="方正仿宋简体" w:eastAsia="方正仿宋简体" w:cs="方正仿宋简体"/>
                <w:sz w:val="24"/>
                <w:szCs w:val="24"/>
              </w:rPr>
              <w:t>年发展，谋划工作新方式和新项目，增补副会长、常务理事和会员单位。会议参会人员：各县区国际商会、副会长会员企业、常务理事会员企业、理事会员企业、会员企业，唐山市国际商会工作人员等。</w:t>
            </w:r>
          </w:p>
        </w:tc>
        <w:tc>
          <w:tcPr>
            <w:tcW w:w="1234"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通过召开唐山市国际商会年度工作会议，加强自身内部建设，团结广大会员企业，宣传推介工作职责，收集整理经贸需求和服务要求，总结工作经验谋划经贸项目，促进唐山市国际商会更好的承担起服务政府、服务企业、代言工商的职责，为唐山市对外开放事业的发展贡献更大的量。</w:t>
            </w:r>
          </w:p>
        </w:tc>
        <w:tc>
          <w:tcPr>
            <w:tcW w:w="1019"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邀请各县（市）区、开发区、管理区国际商会参会，邀请</w:t>
            </w:r>
            <w:r>
              <w:rPr>
                <w:rFonts w:hint="eastAsia" w:ascii="方正仿宋简体" w:hAnsi="方正仿宋简体" w:eastAsia="方正仿宋简体" w:cs="方正仿宋简体"/>
                <w:sz w:val="24"/>
                <w:szCs w:val="24"/>
                <w:lang w:val="en-US" w:eastAsia="zh-CN"/>
              </w:rPr>
              <w:t>110</w:t>
            </w:r>
            <w:r>
              <w:rPr>
                <w:rFonts w:hint="eastAsia" w:ascii="方正仿宋简体" w:hAnsi="方正仿宋简体" w:eastAsia="方正仿宋简体" w:cs="方正仿宋简体"/>
                <w:sz w:val="24"/>
                <w:szCs w:val="24"/>
              </w:rPr>
              <w:t>家会员企业负责人参会</w:t>
            </w:r>
          </w:p>
        </w:tc>
        <w:tc>
          <w:tcPr>
            <w:tcW w:w="860"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≧100%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≧90%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≧80%</w:t>
            </w:r>
          </w:p>
        </w:tc>
        <w:tc>
          <w:tcPr>
            <w:tcW w:w="716" w:type="dxa"/>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＜80%</w:t>
            </w:r>
          </w:p>
        </w:tc>
      </w:tr>
    </w:tbl>
    <w:p>
      <w:pPr>
        <w:numPr>
          <w:ilvl w:val="0"/>
          <w:numId w:val="0"/>
        </w:numPr>
        <w:spacing w:line="360" w:lineRule="auto"/>
        <w:rPr>
          <w:rFonts w:hint="eastAsia" w:ascii="方正仿宋简体" w:hAnsi="方正仿宋简体" w:eastAsia="方正仿宋简体" w:cs="方正仿宋简体"/>
          <w:sz w:val="32"/>
          <w:szCs w:val="32"/>
          <w:lang w:eastAsia="zh-CN"/>
        </w:rPr>
        <w:sectPr>
          <w:headerReference r:id="rId3" w:type="default"/>
          <w:pgSz w:w="11907" w:h="16839"/>
          <w:pgMar w:top="1021" w:right="1361" w:bottom="1021" w:left="1361" w:header="851" w:footer="992" w:gutter="0"/>
          <w:cols w:space="720" w:num="1"/>
          <w:docGrid w:linePitch="312" w:charSpace="0"/>
        </w:sectPr>
      </w:pPr>
    </w:p>
    <w:p>
      <w:pPr>
        <w:rPr>
          <w:rFonts w:hint="eastAsia" w:ascii="黑体" w:hAnsi="黑体" w:eastAsia="黑体" w:cs="黑体"/>
          <w:sz w:val="32"/>
          <w:szCs w:val="32"/>
        </w:rPr>
      </w:pPr>
      <w:r>
        <w:rPr>
          <w:rFonts w:hint="eastAsia" w:ascii="黑体" w:hAnsi="黑体" w:eastAsia="黑体" w:cs="黑体"/>
          <w:sz w:val="32"/>
          <w:szCs w:val="32"/>
        </w:rPr>
        <w:t>六、政府采购预算情况</w:t>
      </w:r>
    </w:p>
    <w:p>
      <w:pPr>
        <w:spacing w:line="360" w:lineRule="auto"/>
        <w:ind w:firstLine="640" w:firstLineChars="200"/>
        <w:rPr>
          <w:rFonts w:hint="eastAsia" w:ascii="方正仿宋简体" w:hAnsi="方正仿宋简体" w:eastAsia="方正仿宋简体" w:cs="方正仿宋简体"/>
          <w:sz w:val="32"/>
          <w:szCs w:val="32"/>
        </w:rPr>
        <w:sectPr>
          <w:pgSz w:w="11907" w:h="16839"/>
          <w:pgMar w:top="1021" w:right="1361" w:bottom="1021" w:left="1361" w:header="851" w:footer="992" w:gutter="0"/>
          <w:cols w:space="720" w:num="1"/>
          <w:docGrid w:linePitch="312" w:charSpace="0"/>
        </w:sectPr>
      </w:pPr>
      <w:r>
        <w:rPr>
          <w:rFonts w:hint="eastAsia" w:ascii="方正仿宋简体" w:hAnsi="方正仿宋简体" w:eastAsia="方正仿宋简体" w:cs="方正仿宋简体"/>
          <w:color w:val="000000"/>
          <w:sz w:val="32"/>
          <w:szCs w:val="32"/>
        </w:rPr>
        <w:t>唐山市贸促会</w:t>
      </w:r>
      <w:r>
        <w:rPr>
          <w:rFonts w:hint="eastAsia" w:ascii="方正仿宋简体" w:hAnsi="方正仿宋简体" w:eastAsia="方正仿宋简体" w:cs="方正仿宋简体"/>
          <w:color w:val="000000"/>
          <w:sz w:val="32"/>
          <w:szCs w:val="32"/>
          <w:lang w:val="en-US" w:eastAsia="zh-CN"/>
        </w:rPr>
        <w:t>2020年度未安排政府采购预算。</w:t>
      </w:r>
      <w:bookmarkStart w:id="0" w:name="_Toc437615398"/>
    </w:p>
    <w:p>
      <w:pPr>
        <w:spacing w:line="560" w:lineRule="exact"/>
        <w:rPr>
          <w:rFonts w:hint="eastAsia" w:ascii="黑体" w:hAnsi="黑体" w:eastAsia="黑体" w:cs="黑体"/>
          <w:sz w:val="32"/>
          <w:szCs w:val="32"/>
        </w:rPr>
      </w:pPr>
      <w:r>
        <w:rPr>
          <w:rFonts w:hint="eastAsia" w:ascii="黑体" w:hAnsi="黑体" w:eastAsia="黑体" w:cs="黑体"/>
          <w:sz w:val="32"/>
          <w:szCs w:val="32"/>
        </w:rPr>
        <w:t>七、国有资产信息情况</w:t>
      </w:r>
    </w:p>
    <w:p>
      <w:pPr>
        <w:spacing w:line="560" w:lineRule="exact"/>
        <w:ind w:firstLine="640" w:firstLineChars="200"/>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1、截至20</w:t>
      </w:r>
      <w:r>
        <w:rPr>
          <w:rFonts w:hint="eastAsia" w:ascii="方正仿宋简体" w:hAnsi="方正仿宋简体" w:eastAsia="方正仿宋简体" w:cs="方正仿宋简体"/>
          <w:sz w:val="32"/>
          <w:szCs w:val="32"/>
          <w:lang w:val="en-US" w:eastAsia="zh-CN"/>
        </w:rPr>
        <w:t>19</w:t>
      </w:r>
      <w:r>
        <w:rPr>
          <w:rFonts w:hint="eastAsia" w:ascii="方正仿宋简体" w:hAnsi="方正仿宋简体" w:eastAsia="方正仿宋简体" w:cs="方正仿宋简体"/>
          <w:sz w:val="32"/>
          <w:szCs w:val="32"/>
        </w:rPr>
        <w:t>年12月31日</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我会固定资产总额为</w:t>
      </w:r>
      <w:r>
        <w:rPr>
          <w:rFonts w:hint="eastAsia" w:ascii="方正仿宋简体" w:hAnsi="方正仿宋简体" w:eastAsia="方正仿宋简体" w:cs="方正仿宋简体"/>
          <w:sz w:val="32"/>
          <w:szCs w:val="32"/>
          <w:lang w:val="en-US" w:eastAsia="zh-CN"/>
        </w:rPr>
        <w:t>71.43</w:t>
      </w:r>
      <w:r>
        <w:rPr>
          <w:rFonts w:hint="eastAsia" w:ascii="方正仿宋简体" w:hAnsi="方正仿宋简体" w:eastAsia="方正仿宋简体" w:cs="方正仿宋简体"/>
          <w:sz w:val="32"/>
          <w:szCs w:val="32"/>
        </w:rPr>
        <w:t>万元，包括一般公务用车1辆23.98万元，其他固定资产为日常办公设备电脑、打印机、办公桌椅等</w:t>
      </w:r>
      <w:r>
        <w:rPr>
          <w:rFonts w:hint="eastAsia" w:ascii="方正仿宋简体" w:hAnsi="方正仿宋简体" w:eastAsia="方正仿宋简体" w:cs="方正仿宋简体"/>
          <w:sz w:val="32"/>
          <w:szCs w:val="32"/>
          <w:lang w:val="en-US" w:eastAsia="zh-CN"/>
        </w:rPr>
        <w:t>47.45</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val="en-US" w:eastAsia="zh-CN"/>
        </w:rPr>
        <w:t>2020年，我单位未安排购置国有资产。</w:t>
      </w:r>
    </w:p>
    <w:tbl>
      <w:tblPr>
        <w:tblStyle w:val="5"/>
        <w:tblpPr w:leftFromText="180" w:rightFromText="180" w:vertAnchor="text" w:horzAnchor="page" w:tblpX="1988" w:tblpY="1099"/>
        <w:tblW w:w="0" w:type="auto"/>
        <w:tblInd w:w="0" w:type="dxa"/>
        <w:tblLayout w:type="fixed"/>
        <w:tblCellMar>
          <w:top w:w="0" w:type="dxa"/>
          <w:left w:w="108" w:type="dxa"/>
          <w:bottom w:w="0" w:type="dxa"/>
          <w:right w:w="108" w:type="dxa"/>
        </w:tblCellMar>
      </w:tblPr>
      <w:tblGrid>
        <w:gridCol w:w="4428"/>
        <w:gridCol w:w="2376"/>
        <w:gridCol w:w="1944"/>
      </w:tblGrid>
      <w:tr>
        <w:tblPrEx>
          <w:tblCellMar>
            <w:top w:w="0" w:type="dxa"/>
            <w:left w:w="108" w:type="dxa"/>
            <w:bottom w:w="0" w:type="dxa"/>
            <w:right w:w="108" w:type="dxa"/>
          </w:tblCellMar>
        </w:tblPrEx>
        <w:trPr>
          <w:trHeight w:val="595" w:hRule="atLeast"/>
        </w:trPr>
        <w:tc>
          <w:tcPr>
            <w:tcW w:w="8748" w:type="dxa"/>
            <w:gridSpan w:val="3"/>
            <w:noWrap w:val="0"/>
            <w:vAlign w:val="bottom"/>
          </w:tcPr>
          <w:p>
            <w:pPr>
              <w:widowControl/>
              <w:jc w:val="center"/>
              <w:rPr>
                <w:rFonts w:hint="eastAsia" w:ascii="方正仿宋简体" w:hAnsi="方正仿宋简体" w:eastAsia="方正仿宋简体" w:cs="方正仿宋简体"/>
                <w:b/>
                <w:color w:val="000000"/>
                <w:kern w:val="0"/>
                <w:sz w:val="32"/>
                <w:szCs w:val="32"/>
              </w:rPr>
            </w:pPr>
            <w:r>
              <w:rPr>
                <w:rFonts w:hint="eastAsia" w:ascii="方正仿宋简体" w:hAnsi="方正仿宋简体" w:eastAsia="方正仿宋简体" w:cs="方正仿宋简体"/>
                <w:b/>
                <w:color w:val="000000"/>
                <w:kern w:val="0"/>
                <w:sz w:val="32"/>
                <w:szCs w:val="32"/>
              </w:rPr>
              <w:t>唐山市市直部门固定资产占用情况表</w:t>
            </w:r>
          </w:p>
        </w:tc>
      </w:tr>
      <w:tr>
        <w:tblPrEx>
          <w:tblCellMar>
            <w:top w:w="0" w:type="dxa"/>
            <w:left w:w="108" w:type="dxa"/>
            <w:bottom w:w="0" w:type="dxa"/>
            <w:right w:w="108" w:type="dxa"/>
          </w:tblCellMar>
        </w:tblPrEx>
        <w:trPr>
          <w:trHeight w:val="441" w:hRule="atLeast"/>
        </w:trPr>
        <w:tc>
          <w:tcPr>
            <w:tcW w:w="4428" w:type="dxa"/>
            <w:tcBorders>
              <w:bottom w:val="single" w:color="000000" w:sz="4" w:space="0"/>
            </w:tcBorders>
            <w:noWrap w:val="0"/>
            <w:vAlign w:val="bottom"/>
          </w:tcPr>
          <w:p>
            <w:pPr>
              <w:widowControl/>
              <w:jc w:val="left"/>
              <w:rPr>
                <w:rFonts w:hint="eastAsia" w:ascii="方正仿宋简体" w:hAnsi="方正仿宋简体" w:eastAsia="方正仿宋简体" w:cs="方正仿宋简体"/>
                <w:color w:val="000000"/>
                <w:kern w:val="0"/>
                <w:sz w:val="32"/>
                <w:szCs w:val="32"/>
              </w:rPr>
            </w:pPr>
          </w:p>
        </w:tc>
        <w:tc>
          <w:tcPr>
            <w:tcW w:w="4320" w:type="dxa"/>
            <w:gridSpan w:val="2"/>
            <w:tcBorders>
              <w:bottom w:val="single" w:color="000000" w:sz="4" w:space="0"/>
            </w:tcBorders>
            <w:noWrap w:val="0"/>
            <w:vAlign w:val="bottom"/>
          </w:tcPr>
          <w:p>
            <w:pPr>
              <w:widowControl/>
              <w:ind w:firstLine="480" w:firstLineChars="150"/>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截至时间：</w:t>
            </w:r>
            <w:r>
              <w:rPr>
                <w:rFonts w:hint="eastAsia" w:ascii="方正仿宋简体" w:hAnsi="方正仿宋简体" w:eastAsia="方正仿宋简体" w:cs="方正仿宋简体"/>
                <w:kern w:val="0"/>
                <w:sz w:val="32"/>
                <w:szCs w:val="32"/>
              </w:rPr>
              <w:t>201</w:t>
            </w:r>
            <w:r>
              <w:rPr>
                <w:rFonts w:hint="eastAsia" w:ascii="方正仿宋简体" w:hAnsi="方正仿宋简体" w:eastAsia="方正仿宋简体" w:cs="方正仿宋简体"/>
                <w:kern w:val="0"/>
                <w:sz w:val="32"/>
                <w:szCs w:val="32"/>
                <w:lang w:val="en-US" w:eastAsia="zh-CN"/>
              </w:rPr>
              <w:t>9</w:t>
            </w:r>
            <w:r>
              <w:rPr>
                <w:rFonts w:hint="eastAsia" w:ascii="方正仿宋简体" w:hAnsi="方正仿宋简体" w:eastAsia="方正仿宋简体" w:cs="方正仿宋简体"/>
                <w:color w:val="000000"/>
                <w:kern w:val="0"/>
                <w:sz w:val="32"/>
                <w:szCs w:val="32"/>
              </w:rPr>
              <w:t>年</w:t>
            </w:r>
            <w:r>
              <w:rPr>
                <w:rFonts w:hint="eastAsia" w:ascii="方正仿宋简体" w:hAnsi="方正仿宋简体" w:eastAsia="方正仿宋简体" w:cs="方正仿宋简体"/>
                <w:kern w:val="0"/>
                <w:sz w:val="32"/>
                <w:szCs w:val="32"/>
              </w:rPr>
              <w:t>12</w:t>
            </w:r>
            <w:r>
              <w:rPr>
                <w:rFonts w:hint="eastAsia" w:ascii="方正仿宋简体" w:hAnsi="方正仿宋简体" w:eastAsia="方正仿宋简体" w:cs="方正仿宋简体"/>
                <w:color w:val="000000"/>
                <w:kern w:val="0"/>
                <w:sz w:val="32"/>
                <w:szCs w:val="32"/>
              </w:rPr>
              <w:t>月</w:t>
            </w:r>
            <w:r>
              <w:rPr>
                <w:rFonts w:hint="eastAsia" w:ascii="方正仿宋简体" w:hAnsi="方正仿宋简体" w:eastAsia="方正仿宋简体" w:cs="方正仿宋简体"/>
                <w:kern w:val="0"/>
                <w:sz w:val="32"/>
                <w:szCs w:val="32"/>
              </w:rPr>
              <w:t>31</w:t>
            </w:r>
            <w:r>
              <w:rPr>
                <w:rFonts w:hint="eastAsia" w:ascii="方正仿宋简体" w:hAnsi="方正仿宋简体" w:eastAsia="方正仿宋简体" w:cs="方正仿宋简体"/>
                <w:color w:val="000000"/>
                <w:kern w:val="0"/>
                <w:sz w:val="32"/>
                <w:szCs w:val="32"/>
              </w:rPr>
              <w:t>日</w:t>
            </w:r>
          </w:p>
        </w:tc>
      </w:tr>
      <w:tr>
        <w:tblPrEx>
          <w:tblCellMar>
            <w:top w:w="0" w:type="dxa"/>
            <w:left w:w="108" w:type="dxa"/>
            <w:bottom w:w="0" w:type="dxa"/>
            <w:right w:w="108" w:type="dxa"/>
          </w:tblCellMar>
        </w:tblPrEx>
        <w:trPr>
          <w:trHeight w:val="591" w:hRule="atLeast"/>
        </w:trPr>
        <w:tc>
          <w:tcPr>
            <w:tcW w:w="442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项　　目</w:t>
            </w:r>
          </w:p>
        </w:tc>
        <w:tc>
          <w:tcPr>
            <w:tcW w:w="237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数量</w:t>
            </w:r>
          </w:p>
        </w:tc>
        <w:tc>
          <w:tcPr>
            <w:tcW w:w="194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金额（万元）</w:t>
            </w:r>
          </w:p>
        </w:tc>
      </w:tr>
      <w:tr>
        <w:tblPrEx>
          <w:tblCellMar>
            <w:top w:w="0" w:type="dxa"/>
            <w:left w:w="108" w:type="dxa"/>
            <w:bottom w:w="0" w:type="dxa"/>
            <w:right w:w="108" w:type="dxa"/>
          </w:tblCellMar>
        </w:tblPrEx>
        <w:trPr>
          <w:trHeight w:val="558" w:hRule="atLeast"/>
        </w:trPr>
        <w:tc>
          <w:tcPr>
            <w:tcW w:w="442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方正仿宋简体" w:eastAsia="方正仿宋简体" w:cs="方正仿宋简体"/>
                <w:color w:val="000000"/>
                <w:kern w:val="0"/>
                <w:sz w:val="32"/>
                <w:szCs w:val="32"/>
              </w:rPr>
            </w:pPr>
          </w:p>
        </w:tc>
        <w:tc>
          <w:tcPr>
            <w:tcW w:w="237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方正仿宋简体" w:eastAsia="方正仿宋简体" w:cs="方正仿宋简体"/>
                <w:color w:val="000000"/>
                <w:kern w:val="0"/>
                <w:sz w:val="32"/>
                <w:szCs w:val="32"/>
              </w:rPr>
            </w:pPr>
          </w:p>
        </w:tc>
        <w:tc>
          <w:tcPr>
            <w:tcW w:w="194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方正仿宋简体" w:eastAsia="方正仿宋简体" w:cs="方正仿宋简体"/>
                <w:color w:val="000000"/>
                <w:kern w:val="0"/>
                <w:sz w:val="32"/>
                <w:szCs w:val="32"/>
              </w:rPr>
            </w:pPr>
          </w:p>
        </w:tc>
      </w:tr>
      <w:tr>
        <w:tblPrEx>
          <w:tblCellMar>
            <w:top w:w="0" w:type="dxa"/>
            <w:left w:w="108" w:type="dxa"/>
            <w:bottom w:w="0" w:type="dxa"/>
            <w:right w:w="108" w:type="dxa"/>
          </w:tblCellMar>
        </w:tblPrEx>
        <w:trPr>
          <w:trHeight w:val="453" w:hRule="atLeast"/>
        </w:trPr>
        <w:tc>
          <w:tcPr>
            <w:tcW w:w="44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资产总额</w:t>
            </w:r>
          </w:p>
        </w:tc>
        <w:tc>
          <w:tcPr>
            <w:tcW w:w="2376"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w:t>
            </w:r>
          </w:p>
        </w:tc>
        <w:tc>
          <w:tcPr>
            <w:tcW w:w="1944" w:type="dxa"/>
            <w:tcBorders>
              <w:top w:val="single" w:color="000000" w:sz="4" w:space="0"/>
              <w:left w:val="nil"/>
              <w:bottom w:val="single" w:color="000000" w:sz="4" w:space="0"/>
              <w:right w:val="single" w:color="000000" w:sz="4" w:space="0"/>
            </w:tcBorders>
            <w:noWrap w:val="0"/>
            <w:vAlign w:val="center"/>
          </w:tcPr>
          <w:p>
            <w:pPr>
              <w:widowControl/>
              <w:jc w:val="right"/>
              <w:rPr>
                <w:rFonts w:hint="eastAsia" w:ascii="方正仿宋简体" w:hAnsi="方正仿宋简体" w:eastAsia="方正仿宋简体" w:cs="方正仿宋简体"/>
                <w:color w:val="000000"/>
                <w:kern w:val="0"/>
                <w:sz w:val="32"/>
                <w:szCs w:val="32"/>
                <w:lang w:val="en-US" w:eastAsia="zh-CN"/>
              </w:rPr>
            </w:pPr>
            <w:r>
              <w:rPr>
                <w:rFonts w:hint="eastAsia" w:ascii="方正仿宋简体" w:hAnsi="方正仿宋简体" w:eastAsia="方正仿宋简体" w:cs="方正仿宋简体"/>
                <w:color w:val="000000"/>
                <w:kern w:val="0"/>
                <w:sz w:val="32"/>
                <w:szCs w:val="32"/>
                <w:lang w:val="en-US" w:eastAsia="zh-CN"/>
              </w:rPr>
              <w:t>71.43</w:t>
            </w:r>
          </w:p>
        </w:tc>
      </w:tr>
      <w:tr>
        <w:tblPrEx>
          <w:tblCellMar>
            <w:top w:w="0" w:type="dxa"/>
            <w:left w:w="108" w:type="dxa"/>
            <w:bottom w:w="0" w:type="dxa"/>
            <w:right w:w="108" w:type="dxa"/>
          </w:tblCellMar>
        </w:tblPrEx>
        <w:trPr>
          <w:trHeight w:val="453" w:hRule="atLeast"/>
        </w:trPr>
        <w:tc>
          <w:tcPr>
            <w:tcW w:w="44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一、房屋（平方米）</w:t>
            </w:r>
          </w:p>
        </w:tc>
        <w:tc>
          <w:tcPr>
            <w:tcW w:w="2376" w:type="dxa"/>
            <w:tcBorders>
              <w:top w:val="single" w:color="000000" w:sz="4" w:space="0"/>
              <w:left w:val="nil"/>
              <w:bottom w:val="single" w:color="000000" w:sz="4" w:space="0"/>
              <w:right w:val="single" w:color="000000" w:sz="4" w:space="0"/>
            </w:tcBorders>
            <w:noWrap w:val="0"/>
            <w:vAlign w:val="center"/>
          </w:tcPr>
          <w:p>
            <w:pPr>
              <w:widowControl/>
              <w:jc w:val="right"/>
              <w:rPr>
                <w:rFonts w:hint="eastAsia" w:ascii="方正仿宋简体" w:hAnsi="方正仿宋简体" w:eastAsia="方正仿宋简体" w:cs="方正仿宋简体"/>
                <w:color w:val="000000"/>
                <w:kern w:val="0"/>
                <w:sz w:val="32"/>
                <w:szCs w:val="32"/>
              </w:rPr>
            </w:pPr>
          </w:p>
        </w:tc>
        <w:tc>
          <w:tcPr>
            <w:tcW w:w="1944" w:type="dxa"/>
            <w:tcBorders>
              <w:top w:val="single" w:color="000000" w:sz="4" w:space="0"/>
              <w:left w:val="nil"/>
              <w:bottom w:val="single" w:color="000000" w:sz="4" w:space="0"/>
              <w:right w:val="single" w:color="000000" w:sz="4" w:space="0"/>
            </w:tcBorders>
            <w:noWrap w:val="0"/>
            <w:vAlign w:val="center"/>
          </w:tcPr>
          <w:p>
            <w:pPr>
              <w:widowControl/>
              <w:jc w:val="right"/>
              <w:rPr>
                <w:rFonts w:hint="eastAsia" w:ascii="方正仿宋简体" w:hAnsi="方正仿宋简体" w:eastAsia="方正仿宋简体" w:cs="方正仿宋简体"/>
                <w:color w:val="000000"/>
                <w:kern w:val="0"/>
                <w:sz w:val="32"/>
                <w:szCs w:val="32"/>
              </w:rPr>
            </w:pPr>
          </w:p>
        </w:tc>
      </w:tr>
      <w:tr>
        <w:tblPrEx>
          <w:tblCellMar>
            <w:top w:w="0" w:type="dxa"/>
            <w:left w:w="108" w:type="dxa"/>
            <w:bottom w:w="0" w:type="dxa"/>
            <w:right w:w="108" w:type="dxa"/>
          </w:tblCellMar>
        </w:tblPrEx>
        <w:trPr>
          <w:trHeight w:val="453" w:hRule="atLeast"/>
        </w:trPr>
        <w:tc>
          <w:tcPr>
            <w:tcW w:w="44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 xml:space="preserve">        其中：办公用房</w:t>
            </w:r>
          </w:p>
        </w:tc>
        <w:tc>
          <w:tcPr>
            <w:tcW w:w="2376" w:type="dxa"/>
            <w:tcBorders>
              <w:top w:val="single" w:color="000000" w:sz="4" w:space="0"/>
              <w:left w:val="nil"/>
              <w:bottom w:val="single" w:color="000000" w:sz="4" w:space="0"/>
              <w:right w:val="single" w:color="000000" w:sz="4" w:space="0"/>
            </w:tcBorders>
            <w:noWrap w:val="0"/>
            <w:vAlign w:val="center"/>
          </w:tcPr>
          <w:p>
            <w:pPr>
              <w:widowControl/>
              <w:jc w:val="right"/>
              <w:rPr>
                <w:rFonts w:hint="eastAsia" w:ascii="方正仿宋简体" w:hAnsi="方正仿宋简体" w:eastAsia="方正仿宋简体" w:cs="方正仿宋简体"/>
                <w:color w:val="000000"/>
                <w:kern w:val="0"/>
                <w:sz w:val="32"/>
                <w:szCs w:val="32"/>
              </w:rPr>
            </w:pPr>
          </w:p>
        </w:tc>
        <w:tc>
          <w:tcPr>
            <w:tcW w:w="1944" w:type="dxa"/>
            <w:tcBorders>
              <w:top w:val="single" w:color="000000" w:sz="4" w:space="0"/>
              <w:left w:val="nil"/>
              <w:bottom w:val="single" w:color="000000" w:sz="4" w:space="0"/>
              <w:right w:val="single" w:color="000000" w:sz="4" w:space="0"/>
            </w:tcBorders>
            <w:noWrap w:val="0"/>
            <w:vAlign w:val="center"/>
          </w:tcPr>
          <w:p>
            <w:pPr>
              <w:widowControl/>
              <w:jc w:val="right"/>
              <w:rPr>
                <w:rFonts w:hint="eastAsia" w:ascii="方正仿宋简体" w:hAnsi="方正仿宋简体" w:eastAsia="方正仿宋简体" w:cs="方正仿宋简体"/>
                <w:color w:val="000000"/>
                <w:kern w:val="0"/>
                <w:sz w:val="32"/>
                <w:szCs w:val="32"/>
              </w:rPr>
            </w:pPr>
          </w:p>
        </w:tc>
      </w:tr>
      <w:tr>
        <w:tblPrEx>
          <w:tblCellMar>
            <w:top w:w="0" w:type="dxa"/>
            <w:left w:w="108" w:type="dxa"/>
            <w:bottom w:w="0" w:type="dxa"/>
            <w:right w:w="108" w:type="dxa"/>
          </w:tblCellMar>
        </w:tblPrEx>
        <w:trPr>
          <w:trHeight w:val="453" w:hRule="atLeast"/>
        </w:trPr>
        <w:tc>
          <w:tcPr>
            <w:tcW w:w="44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二、汽车（台、辆）</w:t>
            </w:r>
          </w:p>
        </w:tc>
        <w:tc>
          <w:tcPr>
            <w:tcW w:w="2376" w:type="dxa"/>
            <w:tcBorders>
              <w:top w:val="single" w:color="000000" w:sz="4" w:space="0"/>
              <w:left w:val="nil"/>
              <w:bottom w:val="single" w:color="000000" w:sz="4" w:space="0"/>
              <w:right w:val="single" w:color="000000" w:sz="4" w:space="0"/>
            </w:tcBorders>
            <w:noWrap w:val="0"/>
            <w:vAlign w:val="center"/>
          </w:tcPr>
          <w:p>
            <w:pPr>
              <w:widowControl/>
              <w:jc w:val="righ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1</w:t>
            </w:r>
          </w:p>
        </w:tc>
        <w:tc>
          <w:tcPr>
            <w:tcW w:w="1944" w:type="dxa"/>
            <w:tcBorders>
              <w:top w:val="single" w:color="000000" w:sz="4" w:space="0"/>
              <w:left w:val="nil"/>
              <w:bottom w:val="single" w:color="000000" w:sz="4" w:space="0"/>
              <w:right w:val="single" w:color="000000" w:sz="4" w:space="0"/>
            </w:tcBorders>
            <w:noWrap w:val="0"/>
            <w:vAlign w:val="center"/>
          </w:tcPr>
          <w:p>
            <w:pPr>
              <w:widowControl/>
              <w:jc w:val="righ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23.98</w:t>
            </w:r>
          </w:p>
        </w:tc>
      </w:tr>
      <w:tr>
        <w:tblPrEx>
          <w:tblCellMar>
            <w:top w:w="0" w:type="dxa"/>
            <w:left w:w="108" w:type="dxa"/>
            <w:bottom w:w="0" w:type="dxa"/>
            <w:right w:w="108" w:type="dxa"/>
          </w:tblCellMar>
        </w:tblPrEx>
        <w:trPr>
          <w:trHeight w:val="453" w:hRule="atLeast"/>
        </w:trPr>
        <w:tc>
          <w:tcPr>
            <w:tcW w:w="44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三、单价在20万元以上的设备（台、套…）</w:t>
            </w:r>
          </w:p>
        </w:tc>
        <w:tc>
          <w:tcPr>
            <w:tcW w:w="2376" w:type="dxa"/>
            <w:tcBorders>
              <w:top w:val="single" w:color="000000" w:sz="4" w:space="0"/>
              <w:left w:val="nil"/>
              <w:bottom w:val="single" w:color="000000" w:sz="4" w:space="0"/>
              <w:right w:val="single" w:color="000000" w:sz="4" w:space="0"/>
            </w:tcBorders>
            <w:noWrap w:val="0"/>
            <w:vAlign w:val="center"/>
          </w:tcPr>
          <w:p>
            <w:pPr>
              <w:widowControl/>
              <w:jc w:val="righ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　</w:t>
            </w:r>
          </w:p>
        </w:tc>
        <w:tc>
          <w:tcPr>
            <w:tcW w:w="1944" w:type="dxa"/>
            <w:tcBorders>
              <w:top w:val="single" w:color="000000" w:sz="4" w:space="0"/>
              <w:left w:val="nil"/>
              <w:bottom w:val="single" w:color="000000" w:sz="4" w:space="0"/>
              <w:right w:val="single" w:color="000000" w:sz="4" w:space="0"/>
            </w:tcBorders>
            <w:noWrap w:val="0"/>
            <w:vAlign w:val="center"/>
          </w:tcPr>
          <w:p>
            <w:pPr>
              <w:widowControl/>
              <w:jc w:val="righ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　</w:t>
            </w:r>
          </w:p>
        </w:tc>
      </w:tr>
      <w:tr>
        <w:tblPrEx>
          <w:tblCellMar>
            <w:top w:w="0" w:type="dxa"/>
            <w:left w:w="108" w:type="dxa"/>
            <w:bottom w:w="0" w:type="dxa"/>
            <w:right w:w="108" w:type="dxa"/>
          </w:tblCellMar>
        </w:tblPrEx>
        <w:trPr>
          <w:trHeight w:val="453" w:hRule="atLeast"/>
        </w:trPr>
        <w:tc>
          <w:tcPr>
            <w:tcW w:w="442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四、其他固定资产</w:t>
            </w:r>
          </w:p>
        </w:tc>
        <w:tc>
          <w:tcPr>
            <w:tcW w:w="2376"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w:t>
            </w:r>
          </w:p>
        </w:tc>
        <w:tc>
          <w:tcPr>
            <w:tcW w:w="1944" w:type="dxa"/>
            <w:tcBorders>
              <w:top w:val="single" w:color="000000" w:sz="4" w:space="0"/>
              <w:left w:val="nil"/>
              <w:bottom w:val="single" w:color="000000" w:sz="4" w:space="0"/>
              <w:right w:val="single" w:color="000000" w:sz="4" w:space="0"/>
            </w:tcBorders>
            <w:noWrap w:val="0"/>
            <w:vAlign w:val="center"/>
          </w:tcPr>
          <w:p>
            <w:pPr>
              <w:widowControl/>
              <w:jc w:val="right"/>
              <w:rPr>
                <w:rFonts w:hint="eastAsia" w:ascii="方正仿宋简体" w:hAnsi="方正仿宋简体" w:eastAsia="方正仿宋简体" w:cs="方正仿宋简体"/>
                <w:color w:val="000000"/>
                <w:kern w:val="0"/>
                <w:sz w:val="32"/>
                <w:szCs w:val="32"/>
                <w:lang w:val="en-US" w:eastAsia="zh-CN"/>
              </w:rPr>
            </w:pPr>
            <w:r>
              <w:rPr>
                <w:rFonts w:hint="eastAsia" w:ascii="方正仿宋简体" w:hAnsi="方正仿宋简体" w:eastAsia="方正仿宋简体" w:cs="方正仿宋简体"/>
                <w:color w:val="000000"/>
                <w:kern w:val="0"/>
                <w:sz w:val="32"/>
                <w:szCs w:val="32"/>
                <w:lang w:val="en-US" w:eastAsia="zh-CN"/>
              </w:rPr>
              <w:t>47.45</w:t>
            </w:r>
          </w:p>
        </w:tc>
      </w:tr>
    </w:tbl>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（具体情况见下表）。</w:t>
      </w:r>
    </w:p>
    <w:p>
      <w:pPr>
        <w:widowControl/>
        <w:rPr>
          <w:rFonts w:hint="eastAsia" w:ascii="方正仿宋简体" w:hAnsi="方正仿宋简体" w:eastAsia="方正仿宋简体" w:cs="方正仿宋简体"/>
          <w:b/>
          <w:color w:val="000000"/>
          <w:kern w:val="0"/>
          <w:sz w:val="32"/>
          <w:szCs w:val="32"/>
        </w:rPr>
      </w:pPr>
    </w:p>
    <w:p>
      <w:pPr>
        <w:bidi w:val="0"/>
        <w:rPr>
          <w:rFonts w:hint="eastAsia" w:ascii="方正仿宋简体" w:hAnsi="方正仿宋简体" w:eastAsia="方正仿宋简体" w:cs="方正仿宋简体"/>
          <w:kern w:val="2"/>
          <w:sz w:val="32"/>
          <w:szCs w:val="32"/>
          <w:lang w:val="en-US" w:eastAsia="zh-CN" w:bidi="ar-SA"/>
        </w:rPr>
      </w:pPr>
    </w:p>
    <w:p>
      <w:pPr>
        <w:bidi w:val="0"/>
        <w:rPr>
          <w:rFonts w:hint="eastAsia" w:ascii="方正仿宋简体" w:hAnsi="方正仿宋简体" w:eastAsia="方正仿宋简体" w:cs="方正仿宋简体"/>
          <w:sz w:val="32"/>
          <w:szCs w:val="32"/>
          <w:lang w:val="en-US" w:eastAsia="zh-CN"/>
        </w:rPr>
      </w:pPr>
    </w:p>
    <w:p>
      <w:pPr>
        <w:bidi w:val="0"/>
        <w:jc w:val="left"/>
        <w:rPr>
          <w:rFonts w:hint="eastAsia" w:ascii="方正仿宋简体" w:hAnsi="方正仿宋简体" w:eastAsia="方正仿宋简体" w:cs="方正仿宋简体"/>
          <w:sz w:val="32"/>
          <w:szCs w:val="32"/>
          <w:lang w:val="en-US" w:eastAsia="zh-CN"/>
        </w:rPr>
        <w:sectPr>
          <w:pgSz w:w="11907" w:h="16839"/>
          <w:pgMar w:top="1021" w:right="1361" w:bottom="1021" w:left="1361" w:header="851" w:footer="992" w:gutter="0"/>
          <w:cols w:space="720" w:num="1"/>
          <w:docGrid w:linePitch="312" w:charSpace="0"/>
        </w:sect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八、专业名词解释</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1、基本支出：指为保障机构正常运转、完成日常工作任务而发生的人员支出和公用支出。 </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2、项目支出：指在基本支出之外为完成特定行政任务和事业发展目标所发生的支出。 </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3、“三公”经费：纳入市级财政预算管理的“三公”经费，是指市级部门用财政拨款安排的因公国（境）费、公务用车购置及运行费和公务接待费。其中，因公出国（境）费反映单位公务出国（境）</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住宿费、旅费、伙食补助费、杂费、培训费等支出；公务用车购置及运行费反映单位公务用车购置及租用费、燃料费、维修费、过路过桥费、保险费、安全奖励费用等支出；公务接待费反映单位按规定开支的各类公务接待（含外宾接待）支出。 </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九</w:t>
      </w:r>
      <w:r>
        <w:rPr>
          <w:rFonts w:hint="eastAsia" w:ascii="黑体" w:hAnsi="黑体" w:eastAsia="黑体" w:cs="黑体"/>
          <w:sz w:val="32"/>
          <w:szCs w:val="32"/>
          <w:lang w:eastAsia="zh-CN"/>
        </w:rPr>
        <w:t>、</w:t>
      </w:r>
      <w:r>
        <w:rPr>
          <w:rFonts w:hint="eastAsia" w:ascii="黑体" w:hAnsi="黑体" w:eastAsia="黑体" w:cs="黑体"/>
          <w:sz w:val="32"/>
          <w:szCs w:val="32"/>
        </w:rPr>
        <w:t>其他需说明的事项</w:t>
      </w:r>
    </w:p>
    <w:p>
      <w:pPr>
        <w:spacing w:line="56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我会无政府性基金预算财政拨款收支和国有资本经营预算财政拨款收支，因此相关表格数据为零。</w:t>
      </w:r>
    </w:p>
    <w:bookmarkEnd w:id="0"/>
    <w:p>
      <w:pPr>
        <w:spacing w:line="560" w:lineRule="exact"/>
        <w:jc w:val="center"/>
        <w:outlineLvl w:val="0"/>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sectPr>
      <w:pgSz w:w="11907" w:h="16839"/>
      <w:pgMar w:top="1021" w:right="1361" w:bottom="1021"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822ED"/>
    <w:multiLevelType w:val="singleLevel"/>
    <w:tmpl w:val="833822E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D2DB1"/>
    <w:rsid w:val="06A346CF"/>
    <w:rsid w:val="0EDB3196"/>
    <w:rsid w:val="1C132612"/>
    <w:rsid w:val="228E7DA3"/>
    <w:rsid w:val="36DD2DB1"/>
    <w:rsid w:val="3EE825D4"/>
    <w:rsid w:val="51BD2156"/>
    <w:rsid w:val="62987A17"/>
    <w:rsid w:val="767D0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2020-06-17T03:09:00Z</dcterms:created>
  <dc:creator>Administrator</dc:creator>
  <cp:lastModifiedBy>Administrator</cp:lastModifiedBy>
  <dcterms:modified xsi:type="dcterms:W3CDTF">2021-07-26T08:23:18Z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KSOSaveFontToCloudKey">
    <vt:lpwstr>0_cloud</vt:lpwstr>
  </property>
  <property fmtid="{D5CDD505-2E9C-101B-9397-08002B2CF9AE}" pid="4" name="ICV">
    <vt:lpwstr>4783985FE6DD45728727BD28A21429DA</vt:lpwstr>
  </property>
</Properties>
</file>