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26</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248.42</w:t>
            </w:r>
          </w:p>
        </w:tc>
        <w:tc>
          <w:tcPr>
            <w:tcW w:w="4535" w:type="dxa"/>
            <w:vAlign w:val="center"/>
          </w:tcPr>
          <w:p>
            <w:pPr>
              <w:pStyle w:val="14"/>
            </w:pPr>
            <w:r>
              <w:t>一、一般公共服务支出</w:t>
            </w:r>
          </w:p>
        </w:tc>
        <w:tc>
          <w:tcPr>
            <w:tcW w:w="2126" w:type="dxa"/>
            <w:vAlign w:val="center"/>
          </w:tcPr>
          <w:p>
            <w:pPr>
              <w:pStyle w:val="13"/>
            </w:pPr>
            <w:r>
              <w:t>192.10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248.42</w:t>
            </w:r>
          </w:p>
        </w:tc>
        <w:tc>
          <w:tcPr>
            <w:tcW w:w="4535" w:type="dxa"/>
            <w:vAlign w:val="center"/>
          </w:tcPr>
          <w:p>
            <w:pPr>
              <w:pStyle w:val="16"/>
            </w:pPr>
            <w:r>
              <w:t>本年支出合计</w:t>
            </w:r>
          </w:p>
        </w:tc>
        <w:tc>
          <w:tcPr>
            <w:tcW w:w="2126" w:type="dxa"/>
            <w:vAlign w:val="center"/>
          </w:tcPr>
          <w:p>
            <w:pPr>
              <w:pStyle w:val="17"/>
            </w:pPr>
            <w:r>
              <w:t>248.42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248.42</w:t>
            </w:r>
          </w:p>
        </w:tc>
        <w:tc>
          <w:tcPr>
            <w:tcW w:w="4535" w:type="dxa"/>
            <w:vAlign w:val="center"/>
          </w:tcPr>
          <w:p>
            <w:pPr>
              <w:pStyle w:val="16"/>
            </w:pPr>
            <w:r>
              <w:t>支出总计</w:t>
            </w:r>
          </w:p>
        </w:tc>
        <w:tc>
          <w:tcPr>
            <w:tcW w:w="2126" w:type="dxa"/>
            <w:vAlign w:val="center"/>
          </w:tcPr>
          <w:p>
            <w:pPr>
              <w:pStyle w:val="17"/>
            </w:pPr>
            <w:r>
              <w:t>248.42</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248.42</w:t>
            </w:r>
          </w:p>
        </w:tc>
        <w:tc>
          <w:tcPr>
            <w:tcW w:w="1134" w:type="dxa"/>
            <w:vAlign w:val="center"/>
          </w:tcPr>
          <w:p>
            <w:pPr>
              <w:pStyle w:val="17"/>
            </w:pPr>
            <w:r>
              <w:t>248.42</w:t>
            </w:r>
          </w:p>
        </w:tc>
        <w:tc>
          <w:tcPr>
            <w:tcW w:w="1134" w:type="dxa"/>
            <w:vAlign w:val="center"/>
          </w:tcPr>
          <w:p>
            <w:pPr>
              <w:pStyle w:val="17"/>
            </w:pPr>
            <w:r>
              <w:t>248.42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192.10</w:t>
            </w:r>
          </w:p>
        </w:tc>
        <w:tc>
          <w:tcPr>
            <w:tcW w:w="1134" w:type="dxa"/>
            <w:vAlign w:val="center"/>
          </w:tcPr>
          <w:p>
            <w:pPr>
              <w:pStyle w:val="13"/>
            </w:pPr>
            <w:r>
              <w:t>192.10</w:t>
            </w:r>
          </w:p>
        </w:tc>
        <w:tc>
          <w:tcPr>
            <w:tcW w:w="1134" w:type="dxa"/>
            <w:vAlign w:val="center"/>
          </w:tcPr>
          <w:p>
            <w:pPr>
              <w:pStyle w:val="13"/>
            </w:pPr>
            <w:r>
              <w:t>192.10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20113</w:t>
            </w:r>
          </w:p>
        </w:tc>
        <w:tc>
          <w:tcPr>
            <w:tcW w:w="1559" w:type="dxa"/>
            <w:vAlign w:val="center"/>
          </w:tcPr>
          <w:p>
            <w:pPr>
              <w:pStyle w:val="14"/>
            </w:pPr>
            <w:r>
              <w:t>商贸事务</w:t>
            </w:r>
          </w:p>
        </w:tc>
        <w:tc>
          <w:tcPr>
            <w:tcW w:w="1134" w:type="dxa"/>
            <w:vAlign w:val="center"/>
          </w:tcPr>
          <w:p>
            <w:pPr>
              <w:pStyle w:val="13"/>
            </w:pPr>
            <w:r>
              <w:t>192.10</w:t>
            </w:r>
          </w:p>
        </w:tc>
        <w:tc>
          <w:tcPr>
            <w:tcW w:w="1134" w:type="dxa"/>
            <w:vAlign w:val="center"/>
          </w:tcPr>
          <w:p>
            <w:pPr>
              <w:pStyle w:val="13"/>
            </w:pPr>
            <w:r>
              <w:t>192.10</w:t>
            </w:r>
          </w:p>
        </w:tc>
        <w:tc>
          <w:tcPr>
            <w:tcW w:w="1134" w:type="dxa"/>
            <w:vAlign w:val="center"/>
          </w:tcPr>
          <w:p>
            <w:pPr>
              <w:pStyle w:val="13"/>
            </w:pPr>
            <w:r>
              <w:t>192.10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2011301</w:t>
            </w:r>
          </w:p>
        </w:tc>
        <w:tc>
          <w:tcPr>
            <w:tcW w:w="1559" w:type="dxa"/>
            <w:vAlign w:val="center"/>
          </w:tcPr>
          <w:p>
            <w:pPr>
              <w:pStyle w:val="14"/>
            </w:pPr>
            <w:r>
              <w:t>行政运行</w:t>
            </w:r>
          </w:p>
        </w:tc>
        <w:tc>
          <w:tcPr>
            <w:tcW w:w="1134" w:type="dxa"/>
            <w:vAlign w:val="center"/>
          </w:tcPr>
          <w:p>
            <w:pPr>
              <w:pStyle w:val="13"/>
            </w:pPr>
            <w:r>
              <w:t>187.25</w:t>
            </w:r>
          </w:p>
        </w:tc>
        <w:tc>
          <w:tcPr>
            <w:tcW w:w="1134" w:type="dxa"/>
            <w:vAlign w:val="center"/>
          </w:tcPr>
          <w:p>
            <w:pPr>
              <w:pStyle w:val="13"/>
            </w:pPr>
            <w:r>
              <w:t>187.25</w:t>
            </w:r>
          </w:p>
        </w:tc>
        <w:tc>
          <w:tcPr>
            <w:tcW w:w="1134" w:type="dxa"/>
            <w:vAlign w:val="center"/>
          </w:tcPr>
          <w:p>
            <w:pPr>
              <w:pStyle w:val="13"/>
            </w:pPr>
            <w:r>
              <w:t>187.25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2011302</w:t>
            </w:r>
          </w:p>
        </w:tc>
        <w:tc>
          <w:tcPr>
            <w:tcW w:w="1559" w:type="dxa"/>
            <w:vAlign w:val="center"/>
          </w:tcPr>
          <w:p>
            <w:pPr>
              <w:pStyle w:val="14"/>
            </w:pPr>
            <w:r>
              <w:t>一般行政管理事务</w:t>
            </w:r>
          </w:p>
        </w:tc>
        <w:tc>
          <w:tcPr>
            <w:tcW w:w="1134" w:type="dxa"/>
            <w:vAlign w:val="center"/>
          </w:tcPr>
          <w:p>
            <w:pPr>
              <w:pStyle w:val="13"/>
            </w:pPr>
            <w:r>
              <w:t>2.35</w:t>
            </w:r>
          </w:p>
        </w:tc>
        <w:tc>
          <w:tcPr>
            <w:tcW w:w="1134" w:type="dxa"/>
            <w:vAlign w:val="center"/>
          </w:tcPr>
          <w:p>
            <w:pPr>
              <w:pStyle w:val="13"/>
            </w:pPr>
            <w:r>
              <w:t>2.35</w:t>
            </w:r>
          </w:p>
        </w:tc>
        <w:tc>
          <w:tcPr>
            <w:tcW w:w="1134" w:type="dxa"/>
            <w:vAlign w:val="center"/>
          </w:tcPr>
          <w:p>
            <w:pPr>
              <w:pStyle w:val="13"/>
            </w:pPr>
            <w:r>
              <w:t>2.35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2011304</w:t>
            </w:r>
          </w:p>
        </w:tc>
        <w:tc>
          <w:tcPr>
            <w:tcW w:w="1559" w:type="dxa"/>
            <w:vAlign w:val="center"/>
          </w:tcPr>
          <w:p>
            <w:pPr>
              <w:pStyle w:val="14"/>
            </w:pPr>
            <w:r>
              <w:t>对外贸易管理</w:t>
            </w:r>
          </w:p>
        </w:tc>
        <w:tc>
          <w:tcPr>
            <w:tcW w:w="1134" w:type="dxa"/>
            <w:vAlign w:val="center"/>
          </w:tcPr>
          <w:p>
            <w:pPr>
              <w:pStyle w:val="13"/>
            </w:pPr>
            <w:r>
              <w:t>2.50</w:t>
            </w:r>
          </w:p>
        </w:tc>
        <w:tc>
          <w:tcPr>
            <w:tcW w:w="1134" w:type="dxa"/>
            <w:vAlign w:val="center"/>
          </w:tcPr>
          <w:p>
            <w:pPr>
              <w:pStyle w:val="13"/>
            </w:pPr>
            <w:r>
              <w:t>2.50</w:t>
            </w:r>
          </w:p>
        </w:tc>
        <w:tc>
          <w:tcPr>
            <w:tcW w:w="1134" w:type="dxa"/>
            <w:vAlign w:val="center"/>
          </w:tcPr>
          <w:p>
            <w:pPr>
              <w:pStyle w:val="13"/>
            </w:pPr>
            <w:r>
              <w:t>2.50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1.17</w:t>
            </w:r>
          </w:p>
        </w:tc>
        <w:tc>
          <w:tcPr>
            <w:tcW w:w="1134" w:type="dxa"/>
            <w:vAlign w:val="center"/>
          </w:tcPr>
          <w:p>
            <w:pPr>
              <w:pStyle w:val="13"/>
            </w:pPr>
            <w:r>
              <w:t>1.17</w:t>
            </w:r>
          </w:p>
        </w:tc>
        <w:tc>
          <w:tcPr>
            <w:tcW w:w="1134" w:type="dxa"/>
            <w:vAlign w:val="center"/>
          </w:tcPr>
          <w:p>
            <w:pPr>
              <w:pStyle w:val="13"/>
            </w:pPr>
            <w:r>
              <w:t>1.17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20508</w:t>
            </w:r>
          </w:p>
        </w:tc>
        <w:tc>
          <w:tcPr>
            <w:tcW w:w="1559" w:type="dxa"/>
            <w:vAlign w:val="center"/>
          </w:tcPr>
          <w:p>
            <w:pPr>
              <w:pStyle w:val="14"/>
            </w:pPr>
            <w:r>
              <w:t>进修及培训</w:t>
            </w:r>
          </w:p>
        </w:tc>
        <w:tc>
          <w:tcPr>
            <w:tcW w:w="1134" w:type="dxa"/>
            <w:vAlign w:val="center"/>
          </w:tcPr>
          <w:p>
            <w:pPr>
              <w:pStyle w:val="13"/>
            </w:pPr>
            <w:r>
              <w:t>1.17</w:t>
            </w:r>
          </w:p>
        </w:tc>
        <w:tc>
          <w:tcPr>
            <w:tcW w:w="1134" w:type="dxa"/>
            <w:vAlign w:val="center"/>
          </w:tcPr>
          <w:p>
            <w:pPr>
              <w:pStyle w:val="13"/>
            </w:pPr>
            <w:r>
              <w:t>1.17</w:t>
            </w:r>
          </w:p>
        </w:tc>
        <w:tc>
          <w:tcPr>
            <w:tcW w:w="1134" w:type="dxa"/>
            <w:vAlign w:val="center"/>
          </w:tcPr>
          <w:p>
            <w:pPr>
              <w:pStyle w:val="13"/>
            </w:pPr>
            <w:r>
              <w:t>1.17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2050803</w:t>
            </w:r>
          </w:p>
        </w:tc>
        <w:tc>
          <w:tcPr>
            <w:tcW w:w="1559" w:type="dxa"/>
            <w:vAlign w:val="center"/>
          </w:tcPr>
          <w:p>
            <w:pPr>
              <w:pStyle w:val="14"/>
            </w:pPr>
            <w:r>
              <w:t>培训支出</w:t>
            </w:r>
          </w:p>
        </w:tc>
        <w:tc>
          <w:tcPr>
            <w:tcW w:w="1134" w:type="dxa"/>
            <w:vAlign w:val="center"/>
          </w:tcPr>
          <w:p>
            <w:pPr>
              <w:pStyle w:val="13"/>
            </w:pPr>
            <w:r>
              <w:t>1.17</w:t>
            </w:r>
          </w:p>
        </w:tc>
        <w:tc>
          <w:tcPr>
            <w:tcW w:w="1134" w:type="dxa"/>
            <w:vAlign w:val="center"/>
          </w:tcPr>
          <w:p>
            <w:pPr>
              <w:pStyle w:val="13"/>
            </w:pPr>
            <w:r>
              <w:t>1.17</w:t>
            </w:r>
          </w:p>
        </w:tc>
        <w:tc>
          <w:tcPr>
            <w:tcW w:w="1134" w:type="dxa"/>
            <w:vAlign w:val="center"/>
          </w:tcPr>
          <w:p>
            <w:pPr>
              <w:pStyle w:val="13"/>
            </w:pPr>
            <w:r>
              <w:t>1.17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19.49</w:t>
            </w:r>
          </w:p>
        </w:tc>
        <w:tc>
          <w:tcPr>
            <w:tcW w:w="1134" w:type="dxa"/>
            <w:vAlign w:val="center"/>
          </w:tcPr>
          <w:p>
            <w:pPr>
              <w:pStyle w:val="13"/>
            </w:pPr>
            <w:r>
              <w:t>19.49</w:t>
            </w:r>
          </w:p>
        </w:tc>
        <w:tc>
          <w:tcPr>
            <w:tcW w:w="1134" w:type="dxa"/>
            <w:vAlign w:val="center"/>
          </w:tcPr>
          <w:p>
            <w:pPr>
              <w:pStyle w:val="13"/>
            </w:pPr>
            <w:r>
              <w:t>19.49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19.49</w:t>
            </w:r>
          </w:p>
        </w:tc>
        <w:tc>
          <w:tcPr>
            <w:tcW w:w="1134" w:type="dxa"/>
            <w:vAlign w:val="center"/>
          </w:tcPr>
          <w:p>
            <w:pPr>
              <w:pStyle w:val="13"/>
            </w:pPr>
            <w:r>
              <w:t>19.49</w:t>
            </w:r>
          </w:p>
        </w:tc>
        <w:tc>
          <w:tcPr>
            <w:tcW w:w="1134" w:type="dxa"/>
            <w:vAlign w:val="center"/>
          </w:tcPr>
          <w:p>
            <w:pPr>
              <w:pStyle w:val="13"/>
            </w:pPr>
            <w:r>
              <w:t>19.49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19.49</w:t>
            </w:r>
          </w:p>
        </w:tc>
        <w:tc>
          <w:tcPr>
            <w:tcW w:w="1134" w:type="dxa"/>
            <w:vAlign w:val="center"/>
          </w:tcPr>
          <w:p>
            <w:pPr>
              <w:pStyle w:val="13"/>
            </w:pPr>
            <w:r>
              <w:t>19.49</w:t>
            </w:r>
          </w:p>
        </w:tc>
        <w:tc>
          <w:tcPr>
            <w:tcW w:w="1134" w:type="dxa"/>
            <w:vAlign w:val="center"/>
          </w:tcPr>
          <w:p>
            <w:pPr>
              <w:pStyle w:val="13"/>
            </w:pPr>
            <w:r>
              <w:t>19.49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21.04</w:t>
            </w:r>
          </w:p>
        </w:tc>
        <w:tc>
          <w:tcPr>
            <w:tcW w:w="1134" w:type="dxa"/>
            <w:vAlign w:val="center"/>
          </w:tcPr>
          <w:p>
            <w:pPr>
              <w:pStyle w:val="13"/>
            </w:pPr>
            <w:r>
              <w:t>21.04</w:t>
            </w:r>
          </w:p>
        </w:tc>
        <w:tc>
          <w:tcPr>
            <w:tcW w:w="1134" w:type="dxa"/>
            <w:vAlign w:val="center"/>
          </w:tcPr>
          <w:p>
            <w:pPr>
              <w:pStyle w:val="13"/>
            </w:pPr>
            <w:r>
              <w:t>21.04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21.04</w:t>
            </w:r>
          </w:p>
        </w:tc>
        <w:tc>
          <w:tcPr>
            <w:tcW w:w="1134" w:type="dxa"/>
            <w:vAlign w:val="center"/>
          </w:tcPr>
          <w:p>
            <w:pPr>
              <w:pStyle w:val="13"/>
            </w:pPr>
            <w:r>
              <w:t>21.04</w:t>
            </w:r>
          </w:p>
        </w:tc>
        <w:tc>
          <w:tcPr>
            <w:tcW w:w="1134" w:type="dxa"/>
            <w:vAlign w:val="center"/>
          </w:tcPr>
          <w:p>
            <w:pPr>
              <w:pStyle w:val="13"/>
            </w:pPr>
            <w:r>
              <w:t>21.04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21.04</w:t>
            </w:r>
          </w:p>
        </w:tc>
        <w:tc>
          <w:tcPr>
            <w:tcW w:w="1134" w:type="dxa"/>
            <w:vAlign w:val="center"/>
          </w:tcPr>
          <w:p>
            <w:pPr>
              <w:pStyle w:val="13"/>
            </w:pPr>
            <w:r>
              <w:t>21.04</w:t>
            </w:r>
          </w:p>
        </w:tc>
        <w:tc>
          <w:tcPr>
            <w:tcW w:w="1134" w:type="dxa"/>
            <w:vAlign w:val="center"/>
          </w:tcPr>
          <w:p>
            <w:pPr>
              <w:pStyle w:val="13"/>
            </w:pPr>
            <w:r>
              <w:t>21.04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14.62</w:t>
            </w:r>
          </w:p>
        </w:tc>
        <w:tc>
          <w:tcPr>
            <w:tcW w:w="1134" w:type="dxa"/>
            <w:vAlign w:val="center"/>
          </w:tcPr>
          <w:p>
            <w:pPr>
              <w:pStyle w:val="13"/>
            </w:pPr>
            <w:r>
              <w:t>14.62</w:t>
            </w:r>
          </w:p>
        </w:tc>
        <w:tc>
          <w:tcPr>
            <w:tcW w:w="1134" w:type="dxa"/>
            <w:vAlign w:val="center"/>
          </w:tcPr>
          <w:p>
            <w:pPr>
              <w:pStyle w:val="13"/>
            </w:pPr>
            <w:r>
              <w:t>14.62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14.62</w:t>
            </w:r>
          </w:p>
        </w:tc>
        <w:tc>
          <w:tcPr>
            <w:tcW w:w="1134" w:type="dxa"/>
            <w:vAlign w:val="center"/>
          </w:tcPr>
          <w:p>
            <w:pPr>
              <w:pStyle w:val="13"/>
            </w:pPr>
            <w:r>
              <w:t>14.62</w:t>
            </w:r>
          </w:p>
        </w:tc>
        <w:tc>
          <w:tcPr>
            <w:tcW w:w="1134" w:type="dxa"/>
            <w:vAlign w:val="center"/>
          </w:tcPr>
          <w:p>
            <w:pPr>
              <w:pStyle w:val="13"/>
            </w:pPr>
            <w:r>
              <w:t>14.62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14.62</w:t>
            </w:r>
          </w:p>
        </w:tc>
        <w:tc>
          <w:tcPr>
            <w:tcW w:w="1134" w:type="dxa"/>
            <w:vAlign w:val="center"/>
          </w:tcPr>
          <w:p>
            <w:pPr>
              <w:pStyle w:val="13"/>
            </w:pPr>
            <w:r>
              <w:t>14.62</w:t>
            </w:r>
          </w:p>
        </w:tc>
        <w:tc>
          <w:tcPr>
            <w:tcW w:w="1134" w:type="dxa"/>
            <w:vAlign w:val="center"/>
          </w:tcPr>
          <w:p>
            <w:pPr>
              <w:pStyle w:val="13"/>
            </w:pPr>
            <w:r>
              <w:t>14.62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248.42</w:t>
            </w:r>
          </w:p>
        </w:tc>
        <w:tc>
          <w:tcPr>
            <w:tcW w:w="1361" w:type="dxa"/>
            <w:vAlign w:val="center"/>
          </w:tcPr>
          <w:p>
            <w:pPr>
              <w:pStyle w:val="17"/>
            </w:pPr>
            <w:r>
              <w:t>227.39</w:t>
            </w:r>
          </w:p>
        </w:tc>
        <w:tc>
          <w:tcPr>
            <w:tcW w:w="1361" w:type="dxa"/>
            <w:vAlign w:val="center"/>
          </w:tcPr>
          <w:p>
            <w:pPr>
              <w:pStyle w:val="17"/>
            </w:pPr>
            <w:r>
              <w:t>21.03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192.10</w:t>
            </w:r>
          </w:p>
        </w:tc>
        <w:tc>
          <w:tcPr>
            <w:tcW w:w="1361" w:type="dxa"/>
            <w:vAlign w:val="center"/>
          </w:tcPr>
          <w:p>
            <w:pPr>
              <w:pStyle w:val="13"/>
            </w:pPr>
            <w:r>
              <w:t>171.07</w:t>
            </w:r>
          </w:p>
        </w:tc>
        <w:tc>
          <w:tcPr>
            <w:tcW w:w="1361" w:type="dxa"/>
            <w:vAlign w:val="center"/>
          </w:tcPr>
          <w:p>
            <w:pPr>
              <w:pStyle w:val="13"/>
            </w:pPr>
            <w:r>
              <w:t>21.03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20113</w:t>
            </w:r>
          </w:p>
        </w:tc>
        <w:tc>
          <w:tcPr>
            <w:tcW w:w="4535" w:type="dxa"/>
            <w:vAlign w:val="center"/>
          </w:tcPr>
          <w:p>
            <w:pPr>
              <w:pStyle w:val="14"/>
            </w:pPr>
            <w:r>
              <w:t>商贸事务</w:t>
            </w:r>
          </w:p>
        </w:tc>
        <w:tc>
          <w:tcPr>
            <w:tcW w:w="1361" w:type="dxa"/>
            <w:vAlign w:val="center"/>
          </w:tcPr>
          <w:p>
            <w:pPr>
              <w:pStyle w:val="13"/>
            </w:pPr>
            <w:r>
              <w:t>192.10</w:t>
            </w:r>
          </w:p>
        </w:tc>
        <w:tc>
          <w:tcPr>
            <w:tcW w:w="1361" w:type="dxa"/>
            <w:vAlign w:val="center"/>
          </w:tcPr>
          <w:p>
            <w:pPr>
              <w:pStyle w:val="13"/>
            </w:pPr>
            <w:r>
              <w:t>171.07</w:t>
            </w:r>
          </w:p>
        </w:tc>
        <w:tc>
          <w:tcPr>
            <w:tcW w:w="1361" w:type="dxa"/>
            <w:vAlign w:val="center"/>
          </w:tcPr>
          <w:p>
            <w:pPr>
              <w:pStyle w:val="13"/>
            </w:pPr>
            <w:r>
              <w:t>21.03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2011301</w:t>
            </w:r>
          </w:p>
        </w:tc>
        <w:tc>
          <w:tcPr>
            <w:tcW w:w="4535" w:type="dxa"/>
            <w:vAlign w:val="center"/>
          </w:tcPr>
          <w:p>
            <w:pPr>
              <w:pStyle w:val="14"/>
            </w:pPr>
            <w:r>
              <w:t>行政运行</w:t>
            </w:r>
          </w:p>
        </w:tc>
        <w:tc>
          <w:tcPr>
            <w:tcW w:w="1361" w:type="dxa"/>
            <w:vAlign w:val="center"/>
          </w:tcPr>
          <w:p>
            <w:pPr>
              <w:pStyle w:val="13"/>
            </w:pPr>
            <w:r>
              <w:t>187.25</w:t>
            </w:r>
          </w:p>
        </w:tc>
        <w:tc>
          <w:tcPr>
            <w:tcW w:w="1361" w:type="dxa"/>
            <w:vAlign w:val="center"/>
          </w:tcPr>
          <w:p>
            <w:pPr>
              <w:pStyle w:val="13"/>
            </w:pPr>
            <w:r>
              <w:t>171.07</w:t>
            </w:r>
          </w:p>
        </w:tc>
        <w:tc>
          <w:tcPr>
            <w:tcW w:w="1361" w:type="dxa"/>
            <w:vAlign w:val="center"/>
          </w:tcPr>
          <w:p>
            <w:pPr>
              <w:pStyle w:val="13"/>
            </w:pPr>
            <w:r>
              <w:t>16.18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2011302</w:t>
            </w:r>
          </w:p>
        </w:tc>
        <w:tc>
          <w:tcPr>
            <w:tcW w:w="4535" w:type="dxa"/>
            <w:vAlign w:val="center"/>
          </w:tcPr>
          <w:p>
            <w:pPr>
              <w:pStyle w:val="14"/>
            </w:pPr>
            <w:r>
              <w:t>一般行政管理事务</w:t>
            </w:r>
          </w:p>
        </w:tc>
        <w:tc>
          <w:tcPr>
            <w:tcW w:w="1361" w:type="dxa"/>
            <w:vAlign w:val="center"/>
          </w:tcPr>
          <w:p>
            <w:pPr>
              <w:pStyle w:val="13"/>
            </w:pPr>
            <w:r>
              <w:t>2.35</w:t>
            </w:r>
          </w:p>
        </w:tc>
        <w:tc>
          <w:tcPr>
            <w:tcW w:w="1361" w:type="dxa"/>
            <w:vAlign w:val="center"/>
          </w:tcPr>
          <w:p>
            <w:pPr>
              <w:pStyle w:val="13"/>
            </w:pPr>
          </w:p>
        </w:tc>
        <w:tc>
          <w:tcPr>
            <w:tcW w:w="1361" w:type="dxa"/>
            <w:vAlign w:val="center"/>
          </w:tcPr>
          <w:p>
            <w:pPr>
              <w:pStyle w:val="13"/>
            </w:pPr>
            <w:r>
              <w:t>2.35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2011304</w:t>
            </w:r>
          </w:p>
        </w:tc>
        <w:tc>
          <w:tcPr>
            <w:tcW w:w="4535" w:type="dxa"/>
            <w:vAlign w:val="center"/>
          </w:tcPr>
          <w:p>
            <w:pPr>
              <w:pStyle w:val="14"/>
            </w:pPr>
            <w:r>
              <w:t>对外贸易管理</w:t>
            </w:r>
          </w:p>
        </w:tc>
        <w:tc>
          <w:tcPr>
            <w:tcW w:w="1361" w:type="dxa"/>
            <w:vAlign w:val="center"/>
          </w:tcPr>
          <w:p>
            <w:pPr>
              <w:pStyle w:val="13"/>
            </w:pPr>
            <w:r>
              <w:t>2.50</w:t>
            </w:r>
          </w:p>
        </w:tc>
        <w:tc>
          <w:tcPr>
            <w:tcW w:w="1361" w:type="dxa"/>
            <w:vAlign w:val="center"/>
          </w:tcPr>
          <w:p>
            <w:pPr>
              <w:pStyle w:val="13"/>
            </w:pPr>
          </w:p>
        </w:tc>
        <w:tc>
          <w:tcPr>
            <w:tcW w:w="1361" w:type="dxa"/>
            <w:vAlign w:val="center"/>
          </w:tcPr>
          <w:p>
            <w:pPr>
              <w:pStyle w:val="13"/>
            </w:pPr>
            <w:r>
              <w:t>2.50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1.17</w:t>
            </w:r>
          </w:p>
        </w:tc>
        <w:tc>
          <w:tcPr>
            <w:tcW w:w="1361" w:type="dxa"/>
            <w:vAlign w:val="center"/>
          </w:tcPr>
          <w:p>
            <w:pPr>
              <w:pStyle w:val="13"/>
            </w:pPr>
            <w:r>
              <w:t>1.17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20508</w:t>
            </w:r>
          </w:p>
        </w:tc>
        <w:tc>
          <w:tcPr>
            <w:tcW w:w="4535" w:type="dxa"/>
            <w:vAlign w:val="center"/>
          </w:tcPr>
          <w:p>
            <w:pPr>
              <w:pStyle w:val="14"/>
            </w:pPr>
            <w:r>
              <w:t>进修及培训</w:t>
            </w:r>
          </w:p>
        </w:tc>
        <w:tc>
          <w:tcPr>
            <w:tcW w:w="1361" w:type="dxa"/>
            <w:vAlign w:val="center"/>
          </w:tcPr>
          <w:p>
            <w:pPr>
              <w:pStyle w:val="13"/>
            </w:pPr>
            <w:r>
              <w:t>1.17</w:t>
            </w:r>
          </w:p>
        </w:tc>
        <w:tc>
          <w:tcPr>
            <w:tcW w:w="1361" w:type="dxa"/>
            <w:vAlign w:val="center"/>
          </w:tcPr>
          <w:p>
            <w:pPr>
              <w:pStyle w:val="13"/>
            </w:pPr>
            <w:r>
              <w:t>1.17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2050803</w:t>
            </w:r>
          </w:p>
        </w:tc>
        <w:tc>
          <w:tcPr>
            <w:tcW w:w="4535" w:type="dxa"/>
            <w:vAlign w:val="center"/>
          </w:tcPr>
          <w:p>
            <w:pPr>
              <w:pStyle w:val="14"/>
            </w:pPr>
            <w:r>
              <w:t>培训支出</w:t>
            </w:r>
          </w:p>
        </w:tc>
        <w:tc>
          <w:tcPr>
            <w:tcW w:w="1361" w:type="dxa"/>
            <w:vAlign w:val="center"/>
          </w:tcPr>
          <w:p>
            <w:pPr>
              <w:pStyle w:val="13"/>
            </w:pPr>
            <w:r>
              <w:t>1.17</w:t>
            </w:r>
          </w:p>
        </w:tc>
        <w:tc>
          <w:tcPr>
            <w:tcW w:w="1361" w:type="dxa"/>
            <w:vAlign w:val="center"/>
          </w:tcPr>
          <w:p>
            <w:pPr>
              <w:pStyle w:val="13"/>
            </w:pPr>
            <w:r>
              <w:t>1.17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19.49</w:t>
            </w:r>
          </w:p>
        </w:tc>
        <w:tc>
          <w:tcPr>
            <w:tcW w:w="1361" w:type="dxa"/>
            <w:vAlign w:val="center"/>
          </w:tcPr>
          <w:p>
            <w:pPr>
              <w:pStyle w:val="13"/>
            </w:pPr>
            <w:r>
              <w:t>19.49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19.49</w:t>
            </w:r>
          </w:p>
        </w:tc>
        <w:tc>
          <w:tcPr>
            <w:tcW w:w="1361" w:type="dxa"/>
            <w:vAlign w:val="center"/>
          </w:tcPr>
          <w:p>
            <w:pPr>
              <w:pStyle w:val="13"/>
            </w:pPr>
            <w:r>
              <w:t>19.49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19.49</w:t>
            </w:r>
          </w:p>
        </w:tc>
        <w:tc>
          <w:tcPr>
            <w:tcW w:w="1361" w:type="dxa"/>
            <w:vAlign w:val="center"/>
          </w:tcPr>
          <w:p>
            <w:pPr>
              <w:pStyle w:val="13"/>
            </w:pPr>
            <w:r>
              <w:t>19.49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21.04</w:t>
            </w:r>
          </w:p>
        </w:tc>
        <w:tc>
          <w:tcPr>
            <w:tcW w:w="1361" w:type="dxa"/>
            <w:vAlign w:val="center"/>
          </w:tcPr>
          <w:p>
            <w:pPr>
              <w:pStyle w:val="13"/>
            </w:pPr>
            <w:r>
              <w:t>21.04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21.04</w:t>
            </w:r>
          </w:p>
        </w:tc>
        <w:tc>
          <w:tcPr>
            <w:tcW w:w="1361" w:type="dxa"/>
            <w:vAlign w:val="center"/>
          </w:tcPr>
          <w:p>
            <w:pPr>
              <w:pStyle w:val="13"/>
            </w:pPr>
            <w:r>
              <w:t>21.04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21.04</w:t>
            </w:r>
          </w:p>
        </w:tc>
        <w:tc>
          <w:tcPr>
            <w:tcW w:w="1361" w:type="dxa"/>
            <w:vAlign w:val="center"/>
          </w:tcPr>
          <w:p>
            <w:pPr>
              <w:pStyle w:val="13"/>
            </w:pPr>
            <w:r>
              <w:t>21.04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14.62</w:t>
            </w:r>
          </w:p>
        </w:tc>
        <w:tc>
          <w:tcPr>
            <w:tcW w:w="1361" w:type="dxa"/>
            <w:vAlign w:val="center"/>
          </w:tcPr>
          <w:p>
            <w:pPr>
              <w:pStyle w:val="13"/>
            </w:pPr>
            <w:r>
              <w:t>14.62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14.62</w:t>
            </w:r>
          </w:p>
        </w:tc>
        <w:tc>
          <w:tcPr>
            <w:tcW w:w="1361" w:type="dxa"/>
            <w:vAlign w:val="center"/>
          </w:tcPr>
          <w:p>
            <w:pPr>
              <w:pStyle w:val="13"/>
            </w:pPr>
            <w:r>
              <w:t>14.62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14.62</w:t>
            </w:r>
          </w:p>
        </w:tc>
        <w:tc>
          <w:tcPr>
            <w:tcW w:w="1361" w:type="dxa"/>
            <w:vAlign w:val="center"/>
          </w:tcPr>
          <w:p>
            <w:pPr>
              <w:pStyle w:val="13"/>
            </w:pPr>
            <w:r>
              <w:t>14.62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248.42</w:t>
            </w:r>
          </w:p>
        </w:tc>
        <w:tc>
          <w:tcPr>
            <w:tcW w:w="3402" w:type="dxa"/>
            <w:vAlign w:val="center"/>
          </w:tcPr>
          <w:p>
            <w:pPr>
              <w:pStyle w:val="14"/>
            </w:pPr>
            <w:r>
              <w:t>一、一般公共服务支出</w:t>
            </w:r>
          </w:p>
        </w:tc>
        <w:tc>
          <w:tcPr>
            <w:tcW w:w="1474" w:type="dxa"/>
            <w:vAlign w:val="center"/>
          </w:tcPr>
          <w:p>
            <w:pPr>
              <w:pStyle w:val="13"/>
            </w:pPr>
            <w:r>
              <w:t>192.10</w:t>
            </w:r>
          </w:p>
        </w:tc>
        <w:tc>
          <w:tcPr>
            <w:tcW w:w="1474" w:type="dxa"/>
            <w:vAlign w:val="center"/>
          </w:tcPr>
          <w:p>
            <w:pPr>
              <w:pStyle w:val="13"/>
            </w:pPr>
            <w:r>
              <w:t>192.10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1.17</w:t>
            </w:r>
          </w:p>
        </w:tc>
        <w:tc>
          <w:tcPr>
            <w:tcW w:w="1474" w:type="dxa"/>
            <w:vAlign w:val="center"/>
          </w:tcPr>
          <w:p>
            <w:pPr>
              <w:pStyle w:val="13"/>
            </w:pPr>
            <w:r>
              <w:t>1.17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19.49</w:t>
            </w:r>
          </w:p>
        </w:tc>
        <w:tc>
          <w:tcPr>
            <w:tcW w:w="1474" w:type="dxa"/>
            <w:vAlign w:val="center"/>
          </w:tcPr>
          <w:p>
            <w:pPr>
              <w:pStyle w:val="13"/>
            </w:pPr>
            <w:r>
              <w:t>19.49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21.04</w:t>
            </w:r>
          </w:p>
        </w:tc>
        <w:tc>
          <w:tcPr>
            <w:tcW w:w="1474" w:type="dxa"/>
            <w:vAlign w:val="center"/>
          </w:tcPr>
          <w:p>
            <w:pPr>
              <w:pStyle w:val="13"/>
            </w:pPr>
            <w:r>
              <w:t>21.04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14.62</w:t>
            </w:r>
          </w:p>
        </w:tc>
        <w:tc>
          <w:tcPr>
            <w:tcW w:w="1474" w:type="dxa"/>
            <w:vAlign w:val="center"/>
          </w:tcPr>
          <w:p>
            <w:pPr>
              <w:pStyle w:val="13"/>
            </w:pPr>
            <w:r>
              <w:t>14.62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248.42</w:t>
            </w:r>
          </w:p>
        </w:tc>
        <w:tc>
          <w:tcPr>
            <w:tcW w:w="3402" w:type="dxa"/>
            <w:vAlign w:val="center"/>
          </w:tcPr>
          <w:p>
            <w:pPr>
              <w:pStyle w:val="16"/>
            </w:pPr>
            <w:r>
              <w:t>本年支出合计</w:t>
            </w:r>
          </w:p>
        </w:tc>
        <w:tc>
          <w:tcPr>
            <w:tcW w:w="1474" w:type="dxa"/>
            <w:vAlign w:val="center"/>
          </w:tcPr>
          <w:p>
            <w:pPr>
              <w:pStyle w:val="17"/>
            </w:pPr>
            <w:r>
              <w:t>248.42</w:t>
            </w:r>
          </w:p>
        </w:tc>
        <w:tc>
          <w:tcPr>
            <w:tcW w:w="1474" w:type="dxa"/>
            <w:vAlign w:val="center"/>
          </w:tcPr>
          <w:p>
            <w:pPr>
              <w:pStyle w:val="17"/>
            </w:pPr>
            <w:r>
              <w:t>248.42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248.42</w:t>
            </w:r>
          </w:p>
        </w:tc>
        <w:tc>
          <w:tcPr>
            <w:tcW w:w="3402" w:type="dxa"/>
            <w:vAlign w:val="center"/>
          </w:tcPr>
          <w:p>
            <w:pPr>
              <w:pStyle w:val="16"/>
            </w:pPr>
            <w:r>
              <w:t>支出总计</w:t>
            </w:r>
          </w:p>
        </w:tc>
        <w:tc>
          <w:tcPr>
            <w:tcW w:w="1474" w:type="dxa"/>
            <w:vAlign w:val="center"/>
          </w:tcPr>
          <w:p>
            <w:pPr>
              <w:pStyle w:val="17"/>
            </w:pPr>
            <w:r>
              <w:t>248.42</w:t>
            </w:r>
          </w:p>
        </w:tc>
        <w:tc>
          <w:tcPr>
            <w:tcW w:w="1474" w:type="dxa"/>
            <w:vAlign w:val="center"/>
          </w:tcPr>
          <w:p>
            <w:pPr>
              <w:pStyle w:val="17"/>
            </w:pPr>
            <w:r>
              <w:t>248.42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248.42</w:t>
            </w:r>
          </w:p>
        </w:tc>
        <w:tc>
          <w:tcPr>
            <w:tcW w:w="2551" w:type="dxa"/>
            <w:vAlign w:val="center"/>
          </w:tcPr>
          <w:p>
            <w:pPr>
              <w:pStyle w:val="17"/>
            </w:pPr>
            <w:r>
              <w:t>227.39</w:t>
            </w:r>
          </w:p>
        </w:tc>
        <w:tc>
          <w:tcPr>
            <w:tcW w:w="2551" w:type="dxa"/>
            <w:vAlign w:val="center"/>
          </w:tcPr>
          <w:p>
            <w:pPr>
              <w:pStyle w:val="17"/>
            </w:pPr>
            <w:r>
              <w:t>21.03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192.10</w:t>
            </w:r>
          </w:p>
        </w:tc>
        <w:tc>
          <w:tcPr>
            <w:tcW w:w="2551" w:type="dxa"/>
            <w:vAlign w:val="center"/>
          </w:tcPr>
          <w:p>
            <w:pPr>
              <w:pStyle w:val="13"/>
            </w:pPr>
            <w:r>
              <w:t>171.07</w:t>
            </w:r>
          </w:p>
        </w:tc>
        <w:tc>
          <w:tcPr>
            <w:tcW w:w="2551" w:type="dxa"/>
            <w:vAlign w:val="center"/>
          </w:tcPr>
          <w:p>
            <w:pPr>
              <w:pStyle w:val="13"/>
            </w:pPr>
            <w:r>
              <w:t>21.03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20113</w:t>
            </w:r>
          </w:p>
        </w:tc>
        <w:tc>
          <w:tcPr>
            <w:tcW w:w="4535" w:type="dxa"/>
            <w:vAlign w:val="center"/>
          </w:tcPr>
          <w:p>
            <w:pPr>
              <w:pStyle w:val="14"/>
            </w:pPr>
            <w:r>
              <w:t>商贸事务</w:t>
            </w:r>
          </w:p>
        </w:tc>
        <w:tc>
          <w:tcPr>
            <w:tcW w:w="2551" w:type="dxa"/>
            <w:vAlign w:val="center"/>
          </w:tcPr>
          <w:p>
            <w:pPr>
              <w:pStyle w:val="13"/>
            </w:pPr>
            <w:r>
              <w:t>192.10</w:t>
            </w:r>
          </w:p>
        </w:tc>
        <w:tc>
          <w:tcPr>
            <w:tcW w:w="2551" w:type="dxa"/>
            <w:vAlign w:val="center"/>
          </w:tcPr>
          <w:p>
            <w:pPr>
              <w:pStyle w:val="13"/>
            </w:pPr>
            <w:r>
              <w:t>171.07</w:t>
            </w:r>
          </w:p>
        </w:tc>
        <w:tc>
          <w:tcPr>
            <w:tcW w:w="2551" w:type="dxa"/>
            <w:vAlign w:val="center"/>
          </w:tcPr>
          <w:p>
            <w:pPr>
              <w:pStyle w:val="13"/>
            </w:pPr>
            <w:r>
              <w:t>21.03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2011301</w:t>
            </w:r>
          </w:p>
        </w:tc>
        <w:tc>
          <w:tcPr>
            <w:tcW w:w="4535" w:type="dxa"/>
            <w:vAlign w:val="center"/>
          </w:tcPr>
          <w:p>
            <w:pPr>
              <w:pStyle w:val="14"/>
            </w:pPr>
            <w:r>
              <w:t>行政运行</w:t>
            </w:r>
          </w:p>
        </w:tc>
        <w:tc>
          <w:tcPr>
            <w:tcW w:w="2551" w:type="dxa"/>
            <w:vAlign w:val="center"/>
          </w:tcPr>
          <w:p>
            <w:pPr>
              <w:pStyle w:val="13"/>
            </w:pPr>
            <w:r>
              <w:t>187.25</w:t>
            </w:r>
          </w:p>
        </w:tc>
        <w:tc>
          <w:tcPr>
            <w:tcW w:w="2551" w:type="dxa"/>
            <w:vAlign w:val="center"/>
          </w:tcPr>
          <w:p>
            <w:pPr>
              <w:pStyle w:val="13"/>
            </w:pPr>
            <w:r>
              <w:t>171.07</w:t>
            </w:r>
          </w:p>
        </w:tc>
        <w:tc>
          <w:tcPr>
            <w:tcW w:w="2551" w:type="dxa"/>
            <w:vAlign w:val="center"/>
          </w:tcPr>
          <w:p>
            <w:pPr>
              <w:pStyle w:val="13"/>
            </w:pPr>
            <w:r>
              <w:t>16.18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2011302</w:t>
            </w:r>
          </w:p>
        </w:tc>
        <w:tc>
          <w:tcPr>
            <w:tcW w:w="4535" w:type="dxa"/>
            <w:vAlign w:val="center"/>
          </w:tcPr>
          <w:p>
            <w:pPr>
              <w:pStyle w:val="14"/>
            </w:pPr>
            <w:r>
              <w:t>一般行政管理事务</w:t>
            </w:r>
          </w:p>
        </w:tc>
        <w:tc>
          <w:tcPr>
            <w:tcW w:w="2551" w:type="dxa"/>
            <w:vAlign w:val="center"/>
          </w:tcPr>
          <w:p>
            <w:pPr>
              <w:pStyle w:val="13"/>
            </w:pPr>
            <w:r>
              <w:t>2.35</w:t>
            </w:r>
          </w:p>
        </w:tc>
        <w:tc>
          <w:tcPr>
            <w:tcW w:w="2551" w:type="dxa"/>
            <w:vAlign w:val="center"/>
          </w:tcPr>
          <w:p>
            <w:pPr>
              <w:pStyle w:val="13"/>
            </w:pPr>
          </w:p>
        </w:tc>
        <w:tc>
          <w:tcPr>
            <w:tcW w:w="2551" w:type="dxa"/>
            <w:vAlign w:val="center"/>
          </w:tcPr>
          <w:p>
            <w:pPr>
              <w:pStyle w:val="13"/>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2011304</w:t>
            </w:r>
          </w:p>
        </w:tc>
        <w:tc>
          <w:tcPr>
            <w:tcW w:w="4535" w:type="dxa"/>
            <w:vAlign w:val="center"/>
          </w:tcPr>
          <w:p>
            <w:pPr>
              <w:pStyle w:val="14"/>
            </w:pPr>
            <w:r>
              <w:t>对外贸易管理</w:t>
            </w:r>
          </w:p>
        </w:tc>
        <w:tc>
          <w:tcPr>
            <w:tcW w:w="2551" w:type="dxa"/>
            <w:vAlign w:val="center"/>
          </w:tcPr>
          <w:p>
            <w:pPr>
              <w:pStyle w:val="13"/>
            </w:pPr>
            <w:r>
              <w:t>2.50</w:t>
            </w:r>
          </w:p>
        </w:tc>
        <w:tc>
          <w:tcPr>
            <w:tcW w:w="2551" w:type="dxa"/>
            <w:vAlign w:val="center"/>
          </w:tcPr>
          <w:p>
            <w:pPr>
              <w:pStyle w:val="13"/>
            </w:pPr>
          </w:p>
        </w:tc>
        <w:tc>
          <w:tcPr>
            <w:tcW w:w="2551"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1.17</w:t>
            </w:r>
          </w:p>
        </w:tc>
        <w:tc>
          <w:tcPr>
            <w:tcW w:w="2551" w:type="dxa"/>
            <w:vAlign w:val="center"/>
          </w:tcPr>
          <w:p>
            <w:pPr>
              <w:pStyle w:val="13"/>
            </w:pPr>
            <w:r>
              <w:t>1.17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20508</w:t>
            </w:r>
          </w:p>
        </w:tc>
        <w:tc>
          <w:tcPr>
            <w:tcW w:w="4535" w:type="dxa"/>
            <w:vAlign w:val="center"/>
          </w:tcPr>
          <w:p>
            <w:pPr>
              <w:pStyle w:val="14"/>
            </w:pPr>
            <w:r>
              <w:t>进修及培训</w:t>
            </w:r>
          </w:p>
        </w:tc>
        <w:tc>
          <w:tcPr>
            <w:tcW w:w="2551" w:type="dxa"/>
            <w:vAlign w:val="center"/>
          </w:tcPr>
          <w:p>
            <w:pPr>
              <w:pStyle w:val="13"/>
            </w:pPr>
            <w:r>
              <w:t>1.17</w:t>
            </w:r>
          </w:p>
        </w:tc>
        <w:tc>
          <w:tcPr>
            <w:tcW w:w="2551" w:type="dxa"/>
            <w:vAlign w:val="center"/>
          </w:tcPr>
          <w:p>
            <w:pPr>
              <w:pStyle w:val="13"/>
            </w:pPr>
            <w:r>
              <w:t>1.17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2050803</w:t>
            </w:r>
          </w:p>
        </w:tc>
        <w:tc>
          <w:tcPr>
            <w:tcW w:w="4535" w:type="dxa"/>
            <w:vAlign w:val="center"/>
          </w:tcPr>
          <w:p>
            <w:pPr>
              <w:pStyle w:val="14"/>
            </w:pPr>
            <w:r>
              <w:t>培训支出</w:t>
            </w:r>
          </w:p>
        </w:tc>
        <w:tc>
          <w:tcPr>
            <w:tcW w:w="2551" w:type="dxa"/>
            <w:vAlign w:val="center"/>
          </w:tcPr>
          <w:p>
            <w:pPr>
              <w:pStyle w:val="13"/>
            </w:pPr>
            <w:r>
              <w:t>1.17</w:t>
            </w:r>
          </w:p>
        </w:tc>
        <w:tc>
          <w:tcPr>
            <w:tcW w:w="2551" w:type="dxa"/>
            <w:vAlign w:val="center"/>
          </w:tcPr>
          <w:p>
            <w:pPr>
              <w:pStyle w:val="13"/>
            </w:pPr>
            <w:r>
              <w:t>1.17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19.49</w:t>
            </w:r>
          </w:p>
        </w:tc>
        <w:tc>
          <w:tcPr>
            <w:tcW w:w="2551" w:type="dxa"/>
            <w:vAlign w:val="center"/>
          </w:tcPr>
          <w:p>
            <w:pPr>
              <w:pStyle w:val="13"/>
            </w:pPr>
            <w:r>
              <w:t>19.49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19.49</w:t>
            </w:r>
          </w:p>
        </w:tc>
        <w:tc>
          <w:tcPr>
            <w:tcW w:w="2551" w:type="dxa"/>
            <w:vAlign w:val="center"/>
          </w:tcPr>
          <w:p>
            <w:pPr>
              <w:pStyle w:val="13"/>
            </w:pPr>
            <w:r>
              <w:t>19.49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19.49</w:t>
            </w:r>
          </w:p>
        </w:tc>
        <w:tc>
          <w:tcPr>
            <w:tcW w:w="2551" w:type="dxa"/>
            <w:vAlign w:val="center"/>
          </w:tcPr>
          <w:p>
            <w:pPr>
              <w:pStyle w:val="13"/>
            </w:pPr>
            <w:r>
              <w:t>19.49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21.04</w:t>
            </w:r>
          </w:p>
        </w:tc>
        <w:tc>
          <w:tcPr>
            <w:tcW w:w="2551" w:type="dxa"/>
            <w:vAlign w:val="center"/>
          </w:tcPr>
          <w:p>
            <w:pPr>
              <w:pStyle w:val="13"/>
            </w:pPr>
            <w:r>
              <w:t>21.04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21.04</w:t>
            </w:r>
          </w:p>
        </w:tc>
        <w:tc>
          <w:tcPr>
            <w:tcW w:w="2551" w:type="dxa"/>
            <w:vAlign w:val="center"/>
          </w:tcPr>
          <w:p>
            <w:pPr>
              <w:pStyle w:val="13"/>
            </w:pPr>
            <w:r>
              <w:t>21.04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21.04</w:t>
            </w:r>
          </w:p>
        </w:tc>
        <w:tc>
          <w:tcPr>
            <w:tcW w:w="2551" w:type="dxa"/>
            <w:vAlign w:val="center"/>
          </w:tcPr>
          <w:p>
            <w:pPr>
              <w:pStyle w:val="13"/>
            </w:pPr>
            <w:r>
              <w:t>21.04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14.62</w:t>
            </w:r>
          </w:p>
        </w:tc>
        <w:tc>
          <w:tcPr>
            <w:tcW w:w="2551" w:type="dxa"/>
            <w:vAlign w:val="center"/>
          </w:tcPr>
          <w:p>
            <w:pPr>
              <w:pStyle w:val="13"/>
            </w:pPr>
            <w:r>
              <w:t>14.62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14.62</w:t>
            </w:r>
          </w:p>
        </w:tc>
        <w:tc>
          <w:tcPr>
            <w:tcW w:w="2551" w:type="dxa"/>
            <w:vAlign w:val="center"/>
          </w:tcPr>
          <w:p>
            <w:pPr>
              <w:pStyle w:val="13"/>
            </w:pPr>
            <w:r>
              <w:t>14.62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14.62</w:t>
            </w:r>
          </w:p>
        </w:tc>
        <w:tc>
          <w:tcPr>
            <w:tcW w:w="2551" w:type="dxa"/>
            <w:vAlign w:val="center"/>
          </w:tcPr>
          <w:p>
            <w:pPr>
              <w:pStyle w:val="13"/>
            </w:pPr>
            <w:r>
              <w:t>14.62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227.39</w:t>
            </w:r>
          </w:p>
        </w:tc>
        <w:tc>
          <w:tcPr>
            <w:tcW w:w="2551" w:type="dxa"/>
            <w:vAlign w:val="center"/>
          </w:tcPr>
          <w:p>
            <w:pPr>
              <w:pStyle w:val="17"/>
            </w:pPr>
            <w:r>
              <w:t>194.19</w:t>
            </w:r>
          </w:p>
        </w:tc>
        <w:tc>
          <w:tcPr>
            <w:tcW w:w="2551" w:type="dxa"/>
            <w:vAlign w:val="center"/>
          </w:tcPr>
          <w:p>
            <w:pPr>
              <w:pStyle w:val="17"/>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191.28</w:t>
            </w:r>
          </w:p>
        </w:tc>
        <w:tc>
          <w:tcPr>
            <w:tcW w:w="2551" w:type="dxa"/>
            <w:vAlign w:val="center"/>
          </w:tcPr>
          <w:p>
            <w:pPr>
              <w:pStyle w:val="13"/>
            </w:pPr>
            <w:r>
              <w:t>191.28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62.35</w:t>
            </w:r>
          </w:p>
        </w:tc>
        <w:tc>
          <w:tcPr>
            <w:tcW w:w="2551" w:type="dxa"/>
            <w:vAlign w:val="center"/>
          </w:tcPr>
          <w:p>
            <w:pPr>
              <w:pStyle w:val="13"/>
            </w:pPr>
            <w:r>
              <w:t>62.35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67.67</w:t>
            </w:r>
          </w:p>
        </w:tc>
        <w:tc>
          <w:tcPr>
            <w:tcW w:w="2551" w:type="dxa"/>
            <w:vAlign w:val="center"/>
          </w:tcPr>
          <w:p>
            <w:pPr>
              <w:pStyle w:val="13"/>
            </w:pPr>
            <w:r>
              <w:t>67.67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5.20</w:t>
            </w:r>
          </w:p>
        </w:tc>
        <w:tc>
          <w:tcPr>
            <w:tcW w:w="2551" w:type="dxa"/>
            <w:vAlign w:val="center"/>
          </w:tcPr>
          <w:p>
            <w:pPr>
              <w:pStyle w:val="13"/>
            </w:pPr>
            <w:r>
              <w:t>5.20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19.49</w:t>
            </w:r>
          </w:p>
        </w:tc>
        <w:tc>
          <w:tcPr>
            <w:tcW w:w="2551" w:type="dxa"/>
            <w:vAlign w:val="center"/>
          </w:tcPr>
          <w:p>
            <w:pPr>
              <w:pStyle w:val="13"/>
            </w:pPr>
            <w:r>
              <w:t>19.49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9.82</w:t>
            </w:r>
          </w:p>
        </w:tc>
        <w:tc>
          <w:tcPr>
            <w:tcW w:w="2551" w:type="dxa"/>
            <w:vAlign w:val="center"/>
          </w:tcPr>
          <w:p>
            <w:pPr>
              <w:pStyle w:val="13"/>
            </w:pPr>
            <w:r>
              <w:t>9.82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11.22</w:t>
            </w:r>
          </w:p>
        </w:tc>
        <w:tc>
          <w:tcPr>
            <w:tcW w:w="2551" w:type="dxa"/>
            <w:vAlign w:val="center"/>
          </w:tcPr>
          <w:p>
            <w:pPr>
              <w:pStyle w:val="13"/>
            </w:pPr>
            <w:r>
              <w:t>11.22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0.91</w:t>
            </w:r>
          </w:p>
        </w:tc>
        <w:tc>
          <w:tcPr>
            <w:tcW w:w="2551" w:type="dxa"/>
            <w:vAlign w:val="center"/>
          </w:tcPr>
          <w:p>
            <w:pPr>
              <w:pStyle w:val="13"/>
            </w:pPr>
            <w:r>
              <w:t>0.91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14.62</w:t>
            </w:r>
          </w:p>
        </w:tc>
        <w:tc>
          <w:tcPr>
            <w:tcW w:w="2551" w:type="dxa"/>
            <w:vAlign w:val="center"/>
          </w:tcPr>
          <w:p>
            <w:pPr>
              <w:pStyle w:val="13"/>
            </w:pPr>
            <w:r>
              <w:t>14.62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33.20</w:t>
            </w:r>
          </w:p>
        </w:tc>
        <w:tc>
          <w:tcPr>
            <w:tcW w:w="2551" w:type="dxa"/>
            <w:vAlign w:val="center"/>
          </w:tcPr>
          <w:p>
            <w:pPr>
              <w:pStyle w:val="13"/>
            </w:pPr>
          </w:p>
        </w:tc>
        <w:tc>
          <w:tcPr>
            <w:tcW w:w="2551" w:type="dxa"/>
            <w:vAlign w:val="center"/>
          </w:tcPr>
          <w:p>
            <w:pPr>
              <w:pStyle w:val="13"/>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1.35</w:t>
            </w:r>
          </w:p>
        </w:tc>
        <w:tc>
          <w:tcPr>
            <w:tcW w:w="2551" w:type="dxa"/>
            <w:vAlign w:val="center"/>
          </w:tcPr>
          <w:p>
            <w:pPr>
              <w:pStyle w:val="13"/>
            </w:pPr>
          </w:p>
        </w:tc>
        <w:tc>
          <w:tcPr>
            <w:tcW w:w="2551" w:type="dxa"/>
            <w:vAlign w:val="center"/>
          </w:tcPr>
          <w:p>
            <w:pPr>
              <w:pStyle w:val="13"/>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9.27</w:t>
            </w:r>
          </w:p>
        </w:tc>
        <w:tc>
          <w:tcPr>
            <w:tcW w:w="2551" w:type="dxa"/>
            <w:vAlign w:val="center"/>
          </w:tcPr>
          <w:p>
            <w:pPr>
              <w:pStyle w:val="13"/>
            </w:pPr>
          </w:p>
        </w:tc>
        <w:tc>
          <w:tcPr>
            <w:tcW w:w="2551" w:type="dxa"/>
            <w:vAlign w:val="center"/>
          </w:tcPr>
          <w:p>
            <w:pPr>
              <w:pStyle w:val="13"/>
            </w:pPr>
            <w:r>
              <w:t>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0.75</w:t>
            </w:r>
          </w:p>
        </w:tc>
        <w:tc>
          <w:tcPr>
            <w:tcW w:w="2551" w:type="dxa"/>
            <w:vAlign w:val="center"/>
          </w:tcPr>
          <w:p>
            <w:pPr>
              <w:pStyle w:val="13"/>
            </w:pPr>
          </w:p>
        </w:tc>
        <w:tc>
          <w:tcPr>
            <w:tcW w:w="2551"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2.46</w:t>
            </w:r>
          </w:p>
        </w:tc>
        <w:tc>
          <w:tcPr>
            <w:tcW w:w="2551" w:type="dxa"/>
            <w:vAlign w:val="center"/>
          </w:tcPr>
          <w:p>
            <w:pPr>
              <w:pStyle w:val="13"/>
            </w:pPr>
          </w:p>
        </w:tc>
        <w:tc>
          <w:tcPr>
            <w:tcW w:w="2551" w:type="dxa"/>
            <w:vAlign w:val="center"/>
          </w:tcPr>
          <w:p>
            <w:pPr>
              <w:pStyle w:val="13"/>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1.17</w:t>
            </w:r>
          </w:p>
        </w:tc>
        <w:tc>
          <w:tcPr>
            <w:tcW w:w="2551" w:type="dxa"/>
            <w:vAlign w:val="center"/>
          </w:tcPr>
          <w:p>
            <w:pPr>
              <w:pStyle w:val="13"/>
            </w:pPr>
          </w:p>
        </w:tc>
        <w:tc>
          <w:tcPr>
            <w:tcW w:w="2551" w:type="dxa"/>
            <w:vAlign w:val="center"/>
          </w:tcPr>
          <w:p>
            <w:pPr>
              <w:pStyle w:val="13"/>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0.25</w:t>
            </w:r>
          </w:p>
        </w:tc>
        <w:tc>
          <w:tcPr>
            <w:tcW w:w="2551" w:type="dxa"/>
            <w:vAlign w:val="center"/>
          </w:tcPr>
          <w:p>
            <w:pPr>
              <w:pStyle w:val="13"/>
            </w:pPr>
          </w:p>
        </w:tc>
        <w:tc>
          <w:tcPr>
            <w:tcW w:w="2551"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1.40</w:t>
            </w:r>
          </w:p>
        </w:tc>
        <w:tc>
          <w:tcPr>
            <w:tcW w:w="2551" w:type="dxa"/>
            <w:vAlign w:val="center"/>
          </w:tcPr>
          <w:p>
            <w:pPr>
              <w:pStyle w:val="13"/>
            </w:pPr>
          </w:p>
        </w:tc>
        <w:tc>
          <w:tcPr>
            <w:tcW w:w="2551" w:type="dxa"/>
            <w:vAlign w:val="center"/>
          </w:tcPr>
          <w:p>
            <w:pPr>
              <w:pStyle w:val="13"/>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1.56</w:t>
            </w:r>
          </w:p>
        </w:tc>
        <w:tc>
          <w:tcPr>
            <w:tcW w:w="2551" w:type="dxa"/>
            <w:vAlign w:val="center"/>
          </w:tcPr>
          <w:p>
            <w:pPr>
              <w:pStyle w:val="13"/>
            </w:pPr>
          </w:p>
        </w:tc>
        <w:tc>
          <w:tcPr>
            <w:tcW w:w="2551" w:type="dxa"/>
            <w:vAlign w:val="center"/>
          </w:tcPr>
          <w:p>
            <w:pPr>
              <w:pStyle w:val="13"/>
            </w:pPr>
            <w: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2.40</w:t>
            </w:r>
          </w:p>
        </w:tc>
        <w:tc>
          <w:tcPr>
            <w:tcW w:w="2551" w:type="dxa"/>
            <w:vAlign w:val="center"/>
          </w:tcPr>
          <w:p>
            <w:pPr>
              <w:pStyle w:val="13"/>
            </w:pPr>
          </w:p>
        </w:tc>
        <w:tc>
          <w:tcPr>
            <w:tcW w:w="2551"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11.90</w:t>
            </w:r>
          </w:p>
        </w:tc>
        <w:tc>
          <w:tcPr>
            <w:tcW w:w="2551" w:type="dxa"/>
            <w:vAlign w:val="center"/>
          </w:tcPr>
          <w:p>
            <w:pPr>
              <w:pStyle w:val="13"/>
            </w:pPr>
          </w:p>
        </w:tc>
        <w:tc>
          <w:tcPr>
            <w:tcW w:w="2551" w:type="dxa"/>
            <w:vAlign w:val="center"/>
          </w:tcPr>
          <w:p>
            <w:pPr>
              <w:pStyle w:val="13"/>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0.69</w:t>
            </w:r>
          </w:p>
        </w:tc>
        <w:tc>
          <w:tcPr>
            <w:tcW w:w="2551" w:type="dxa"/>
            <w:vAlign w:val="center"/>
          </w:tcPr>
          <w:p>
            <w:pPr>
              <w:pStyle w:val="13"/>
            </w:pPr>
          </w:p>
        </w:tc>
        <w:tc>
          <w:tcPr>
            <w:tcW w:w="2551" w:type="dxa"/>
            <w:vAlign w:val="center"/>
          </w:tcPr>
          <w:p>
            <w:pPr>
              <w:pStyle w:val="13"/>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2.91</w:t>
            </w:r>
          </w:p>
        </w:tc>
        <w:tc>
          <w:tcPr>
            <w:tcW w:w="2551" w:type="dxa"/>
            <w:vAlign w:val="center"/>
          </w:tcPr>
          <w:p>
            <w:pPr>
              <w:pStyle w:val="13"/>
            </w:pPr>
            <w:r>
              <w:t>2.91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2.85</w:t>
            </w:r>
          </w:p>
        </w:tc>
        <w:tc>
          <w:tcPr>
            <w:tcW w:w="2551" w:type="dxa"/>
            <w:vAlign w:val="center"/>
          </w:tcPr>
          <w:p>
            <w:pPr>
              <w:pStyle w:val="13"/>
            </w:pPr>
            <w:r>
              <w:t>2.85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0.06</w:t>
            </w:r>
          </w:p>
        </w:tc>
        <w:tc>
          <w:tcPr>
            <w:tcW w:w="2551" w:type="dxa"/>
            <w:vAlign w:val="center"/>
          </w:tcPr>
          <w:p>
            <w:pPr>
              <w:pStyle w:val="13"/>
            </w:pPr>
            <w:r>
              <w:t>0.06</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rPr>
          <w:rFonts w:ascii="方正小标宋_GBK" w:hAnsi="方正小标宋_GBK" w:eastAsia="方正小标宋_GBK" w:cs="方正小标宋_GBK"/>
          <w:color w:val="000000"/>
          <w:sz w:val="36"/>
        </w:rPr>
      </w:pPr>
      <w:bookmarkStart w:id="8" w:name="_Toc_2_2_0000000009"/>
      <w:r>
        <w:rPr>
          <w:rFonts w:ascii="方正小标宋_GBK" w:hAnsi="方正小标宋_GBK" w:eastAsia="方正小标宋_GBK" w:cs="方正小标宋_GBK"/>
          <w:color w:val="000000"/>
          <w:sz w:val="36"/>
        </w:rPr>
        <w:br w:type="page"/>
      </w:r>
    </w:p>
    <w:p>
      <w:pPr>
        <w:jc w:val="center"/>
        <w:outlineLvl w:val="1"/>
      </w:pPr>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1</w:t>
            </w:r>
          </w:p>
        </w:tc>
        <w:tc>
          <w:tcPr>
            <w:tcW w:w="3798" w:type="dxa"/>
            <w:vAlign w:val="center"/>
          </w:tcPr>
          <w:p>
            <w:pPr>
              <w:spacing w:line="300" w:lineRule="exact"/>
              <w:jc w:val="center"/>
              <w:rPr>
                <w:rFonts w:ascii="方正书宋_GBK" w:hAnsi="Times New Roman" w:eastAsia="方正书宋_GBK" w:cs="Times New Roman"/>
                <w:b/>
                <w:sz w:val="24"/>
                <w:szCs w:val="24"/>
                <w:lang w:val="en-US" w:eastAsia="uk-UA" w:bidi="ar-SA"/>
              </w:rPr>
            </w:pPr>
            <w:r>
              <w:rPr>
                <w:rFonts w:hint="eastAsia" w:ascii="方正书宋_GBK" w:eastAsia="方正书宋_GBK"/>
                <w:b/>
              </w:rPr>
              <w:t>合计</w:t>
            </w:r>
          </w:p>
        </w:tc>
        <w:tc>
          <w:tcPr>
            <w:tcW w:w="2382" w:type="dxa"/>
            <w:vAlign w:val="center"/>
          </w:tcPr>
          <w:p>
            <w:pPr>
              <w:pStyle w:val="13"/>
              <w:rPr>
                <w:rFonts w:hint="default" w:ascii="方正书宋_GBK" w:hAnsi="Times New Roman" w:eastAsia="方正书宋_GBK" w:cs="Times New Roman"/>
                <w:b/>
                <w:sz w:val="24"/>
                <w:szCs w:val="24"/>
                <w:lang w:val="en-US" w:eastAsia="zh-CN" w:bidi="ar-SA"/>
              </w:rPr>
            </w:pPr>
            <w:r>
              <w:rPr>
                <w:rFonts w:hint="eastAsia" w:ascii="方正书宋_GBK" w:hAnsi="Times New Roman" w:eastAsia="方正书宋_GBK" w:cs="Times New Roman"/>
                <w:b/>
                <w:sz w:val="24"/>
                <w:szCs w:val="24"/>
                <w:lang w:val="en-US" w:eastAsia="zh-CN" w:bidi="ar-SA"/>
              </w:rPr>
              <w:t>2.65</w:t>
            </w:r>
          </w:p>
        </w:tc>
        <w:tc>
          <w:tcPr>
            <w:tcW w:w="2381" w:type="dxa"/>
            <w:vAlign w:val="center"/>
          </w:tcPr>
          <w:p>
            <w:pPr>
              <w:pStyle w:val="13"/>
              <w:rPr>
                <w:rFonts w:hint="default" w:ascii="方正书宋_GBK" w:hAnsi="Times New Roman" w:eastAsia="方正书宋_GBK" w:cs="Times New Roman"/>
                <w:b/>
                <w:sz w:val="24"/>
                <w:szCs w:val="24"/>
                <w:lang w:val="en-US" w:eastAsia="zh-CN" w:bidi="ar-SA"/>
              </w:rPr>
            </w:pPr>
            <w:r>
              <w:rPr>
                <w:rFonts w:hint="eastAsia" w:ascii="方正书宋_GBK" w:hAnsi="Times New Roman" w:eastAsia="方正书宋_GBK" w:cs="Times New Roman"/>
                <w:b/>
                <w:sz w:val="24"/>
                <w:szCs w:val="24"/>
                <w:lang w:val="en-US" w:eastAsia="zh-CN" w:bidi="ar-SA"/>
              </w:rPr>
              <w:t>2.65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2</w:t>
            </w:r>
          </w:p>
        </w:tc>
        <w:tc>
          <w:tcPr>
            <w:tcW w:w="379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3</w:t>
            </w:r>
          </w:p>
        </w:tc>
        <w:tc>
          <w:tcPr>
            <w:tcW w:w="379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二、公务用车购置及运维费</w:t>
            </w:r>
          </w:p>
        </w:tc>
        <w:tc>
          <w:tcPr>
            <w:tcW w:w="2382" w:type="dxa"/>
            <w:vAlign w:val="center"/>
          </w:tcPr>
          <w:p>
            <w:pPr>
              <w:pStyle w:val="13"/>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3"/>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4</w:t>
            </w:r>
          </w:p>
        </w:tc>
        <w:tc>
          <w:tcPr>
            <w:tcW w:w="379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ascii="方正书宋_GBK" w:eastAsia="方正书宋_GBK"/>
              </w:rPr>
              <w:t xml:space="preserve">    </w:t>
            </w:r>
            <w:r>
              <w:rPr>
                <w:rFonts w:hint="eastAsia" w:ascii="方正书宋_GBK" w:eastAsia="方正书宋_GBK"/>
              </w:rPr>
              <w:t>其中：公务用车购置费</w:t>
            </w:r>
          </w:p>
        </w:tc>
        <w:tc>
          <w:tcPr>
            <w:tcW w:w="2382" w:type="dxa"/>
            <w:vAlign w:val="center"/>
          </w:tcPr>
          <w:p>
            <w:pPr>
              <w:pStyle w:val="13"/>
              <w:rPr>
                <w:rFonts w:hint="eastAsia" w:ascii="方正书宋_GBK" w:hAnsi="Times New Roman" w:eastAsia="方正书宋_GBK" w:cs="Times New Roman"/>
                <w:sz w:val="24"/>
                <w:szCs w:val="24"/>
                <w:lang w:val="en-US" w:eastAsia="uk-UA" w:bidi="ar-SA"/>
              </w:rPr>
            </w:pPr>
          </w:p>
        </w:tc>
        <w:tc>
          <w:tcPr>
            <w:tcW w:w="2381" w:type="dxa"/>
            <w:vAlign w:val="center"/>
          </w:tcPr>
          <w:p>
            <w:pPr>
              <w:pStyle w:val="13"/>
              <w:rPr>
                <w:rFonts w:hint="eastAsia" w:ascii="方正书宋_GBK" w:hAnsi="Times New Roman" w:eastAsia="方正书宋_GBK" w:cs="Times New Roman"/>
                <w:sz w:val="24"/>
                <w:szCs w:val="24"/>
                <w:lang w:val="en-US" w:eastAsia="uk-UA"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5</w:t>
            </w:r>
          </w:p>
        </w:tc>
        <w:tc>
          <w:tcPr>
            <w:tcW w:w="3798"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ascii="方正书宋_GBK" w:eastAsia="方正书宋_GBK"/>
              </w:rPr>
              <w:t xml:space="preserve">          </w:t>
            </w:r>
            <w:r>
              <w:rPr>
                <w:rFonts w:hint="eastAsia" w:ascii="方正书宋_GBK" w:eastAsia="方正书宋_GBK"/>
              </w:rPr>
              <w:t>公务用车运行维护费</w:t>
            </w:r>
          </w:p>
        </w:tc>
        <w:tc>
          <w:tcPr>
            <w:tcW w:w="2382" w:type="dxa"/>
            <w:vAlign w:val="center"/>
          </w:tcPr>
          <w:p>
            <w:pPr>
              <w:pStyle w:val="13"/>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3"/>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6</w:t>
            </w:r>
          </w:p>
        </w:tc>
        <w:tc>
          <w:tcPr>
            <w:tcW w:w="3798"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hint="eastAsia" w:ascii="方正书宋_GBK" w:eastAsia="方正书宋_GBK"/>
              </w:rPr>
              <w:t>三、公务接待费</w:t>
            </w:r>
          </w:p>
        </w:tc>
        <w:tc>
          <w:tcPr>
            <w:tcW w:w="2382" w:type="dxa"/>
            <w:vAlign w:val="center"/>
          </w:tcPr>
          <w:p>
            <w:pPr>
              <w:pStyle w:val="13"/>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0.25</w:t>
            </w:r>
          </w:p>
        </w:tc>
        <w:tc>
          <w:tcPr>
            <w:tcW w:w="2381" w:type="dxa"/>
            <w:vAlign w:val="center"/>
          </w:tcPr>
          <w:p>
            <w:pPr>
              <w:pStyle w:val="13"/>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0.25</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中国国际贸易促进委员会唐山市委员会2022年部门预算信息公开情况说明</w:t>
      </w:r>
    </w:p>
    <w:p>
      <w:pPr>
        <w:jc w:val="center"/>
      </w:pPr>
      <w:r>
        <w:rPr>
          <w:rFonts w:ascii="方正小标宋_GBK" w:hAnsi="方正小标宋_GBK" w:eastAsia="方正小标宋_GBK" w:cs="方正小标宋_GBK"/>
          <w:color w:val="000000"/>
          <w:sz w:val="44"/>
        </w:rPr>
        <w:t>中国国际贸易促进委员会唐山市委员会2022年部门预算信息公开情况说明</w:t>
      </w:r>
    </w:p>
    <w:p>
      <w:pPr>
        <w:spacing w:line="500" w:lineRule="exact"/>
        <w:ind w:firstLine="560"/>
        <w:rPr>
          <w:rFonts w:eastAsia="方正仿宋_GBK"/>
          <w:color w:val="000000"/>
          <w:sz w:val="28"/>
        </w:rPr>
      </w:pPr>
      <w:r>
        <w:rPr>
          <w:rFonts w:eastAsia="方正仿宋_GBK"/>
          <w:color w:val="000000"/>
          <w:sz w:val="28"/>
        </w:rPr>
        <w:t>按照《预算法》、《地方预决算公开操作规程》和《关于进一步推进预算公开工作的实施意见》规定，现将中国国际贸易促进委员会唐山市委员会2022年部门预算公开如下：</w:t>
      </w:r>
    </w:p>
    <w:p>
      <w:pPr>
        <w:spacing w:line="500" w:lineRule="exact"/>
        <w:ind w:firstLine="560"/>
        <w:rPr>
          <w:rFonts w:eastAsia="方正仿宋_GBK"/>
          <w:color w:val="000000"/>
          <w:sz w:val="28"/>
        </w:rPr>
      </w:pP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spacing w:line="560" w:lineRule="exact"/>
        <w:ind w:firstLine="643" w:firstLineChars="200"/>
        <w:rPr>
          <w:rFonts w:hint="eastAsia" w:ascii="方正仿宋简体" w:hAnsi="方正仿宋简体" w:eastAsia="方正仿宋简体" w:cs="方正仿宋简体"/>
          <w:sz w:val="32"/>
          <w:szCs w:val="32"/>
        </w:rPr>
      </w:pPr>
      <w:r>
        <w:rPr>
          <w:rFonts w:ascii="方正楷体_GBK" w:hAnsi="方正楷体_GBK" w:eastAsia="方正楷体_GBK" w:cs="方正楷体_GBK"/>
          <w:b/>
          <w:color w:val="000000"/>
          <w:sz w:val="32"/>
        </w:rPr>
        <w:t>部门职责：</w:t>
      </w:r>
      <w:r>
        <w:rPr>
          <w:rFonts w:hint="eastAsia" w:ascii="方正仿宋简体" w:hAnsi="方正仿宋简体" w:eastAsia="方正仿宋简体" w:cs="方正仿宋简体"/>
          <w:sz w:val="32"/>
          <w:szCs w:val="32"/>
        </w:rPr>
        <w:t>根据《中国国际贸易促进委员会唐山市委员会职能配置、内设机构和人员编制方案》规定，中国国际贸易促进委员会唐山市委员会的主要职责是：</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（一）发展同世界各国、各地区经济贸易界、商协会和其他经贸团体以及有关国际经济贸易组织的联系；负责与国（境）外对口组织在我市设立的代表机构以及外国在我市设立的商会进行联络并开展交流工作。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（二）负责办理市内单位出国（境）举办经贸展览会的报批手续；组织参加赴国（境）外举办唐山市贸易展览会、经贸洽谈会、国际博览会。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（三）安排、接待国外来我市举办的经济贸易或技术展览会。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办理涉及国际经济贸易、海事及相关的法律事务。签发中国出口货物一般原产地证明书；认证对外贸易单据；代办申请领事认证；办理涉外经济贸易文件证明；代理我市企业在国外申请办理注册商标和专利，并提供相应的咨询服务；办理涉外商务咨信调查，调解涉外经济纠纷。</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（五）开展国内外经济贸易信息搜集、整理、传递和发布工作；承办中外经济技术合作项目的评估和可行性研究；提供涉外法律咨询、法律顾问工作。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（六）指导、协调我市县（市）区国际商会、行业国际商会的工作；负责对各分支机构及会员的服务和培训工作。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（七）负责协调与国际商会间交往的有关事宜。</w:t>
      </w:r>
    </w:p>
    <w:p>
      <w:p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sz w:val="32"/>
          <w:szCs w:val="32"/>
        </w:rPr>
        <w:t>（八）办理市政府交办的其他事宜。</w:t>
      </w:r>
    </w:p>
    <w:p>
      <w:pPr>
        <w:ind w:firstLine="640"/>
      </w:pP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中国国际贸易促进委员会唐山市委员会本级</w:t>
            </w:r>
          </w:p>
        </w:tc>
        <w:tc>
          <w:tcPr>
            <w:tcW w:w="1843" w:type="dxa"/>
            <w:vAlign w:val="center"/>
          </w:tcPr>
          <w:p>
            <w:pPr>
              <w:pStyle w:val="15"/>
            </w:pPr>
            <w:r>
              <w:t>事业</w:t>
            </w:r>
          </w:p>
        </w:tc>
        <w:tc>
          <w:tcPr>
            <w:tcW w:w="2126" w:type="dxa"/>
            <w:vAlign w:val="center"/>
          </w:tcPr>
          <w:p>
            <w:pPr>
              <w:pStyle w:val="15"/>
            </w:pPr>
            <w:r>
              <w:t>正处（县）级</w:t>
            </w:r>
          </w:p>
        </w:tc>
        <w:tc>
          <w:tcPr>
            <w:tcW w:w="3827" w:type="dxa"/>
            <w:vAlign w:val="center"/>
          </w:tcPr>
          <w:p>
            <w:pPr>
              <w:pStyle w:val="15"/>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60" w:lineRule="exact"/>
        <w:ind w:firstLine="560" w:firstLineChars="20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按照预算管理有关规定，目前我省部门预算的编制实行综合预算管理，即全部收入和支出都反映在预算中。中国国际贸易促进委员会唐山市委员会机关及所属事业单位的收支包含在部门预算中。</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（一）收入预算说明</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022</w:t>
      </w:r>
      <w:r>
        <w:rPr>
          <w:rFonts w:hint="eastAsia" w:ascii="方正仿宋简体" w:hAnsi="方正仿宋简体" w:eastAsia="方正仿宋简体" w:cs="方正仿宋简体"/>
          <w:sz w:val="32"/>
          <w:szCs w:val="32"/>
        </w:rPr>
        <w:t>年，中国国际贸易促进委员会唐山市委员会预算收入总额为</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万元，其中财政拨款（补助）收入</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（二）支出预算说明</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年，中国国际贸易促进委员会唐山市委员会预算支出总额为</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万元，其中基本支出</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万元（其中人员经费支出</w:t>
      </w:r>
      <w:r>
        <w:rPr>
          <w:rFonts w:hint="eastAsia" w:ascii="方正仿宋简体" w:hAnsi="方正仿宋简体" w:eastAsia="方正仿宋简体" w:cs="方正仿宋简体"/>
          <w:sz w:val="32"/>
          <w:szCs w:val="32"/>
          <w:lang w:val="en-US" w:eastAsia="zh-CN"/>
        </w:rPr>
        <w:t>194.19</w:t>
      </w:r>
      <w:r>
        <w:rPr>
          <w:rFonts w:hint="eastAsia" w:ascii="方正仿宋简体" w:hAnsi="方正仿宋简体" w:eastAsia="方正仿宋简体" w:cs="方正仿宋简体"/>
          <w:sz w:val="32"/>
          <w:szCs w:val="32"/>
        </w:rPr>
        <w:t>万元，公用经费支出</w:t>
      </w:r>
      <w:r>
        <w:rPr>
          <w:rFonts w:hint="eastAsia" w:ascii="方正仿宋简体" w:hAnsi="方正仿宋简体" w:eastAsia="方正仿宋简体" w:cs="方正仿宋简体"/>
          <w:sz w:val="32"/>
          <w:szCs w:val="32"/>
          <w:lang w:val="en-US" w:eastAsia="zh-CN"/>
        </w:rPr>
        <w:t>33.20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，项目专项公用经费支出</w:t>
      </w:r>
      <w:r>
        <w:rPr>
          <w:rFonts w:hint="eastAsia" w:ascii="方正仿宋简体" w:hAnsi="方正仿宋简体" w:eastAsia="方正仿宋简体" w:cs="方正仿宋简体"/>
          <w:sz w:val="32"/>
          <w:szCs w:val="32"/>
          <w:lang w:val="en-US" w:eastAsia="zh-CN"/>
        </w:rPr>
        <w:t>21.03万元</w:t>
      </w:r>
      <w:r>
        <w:rPr>
          <w:rFonts w:hint="eastAsia" w:ascii="方正仿宋简体" w:hAnsi="方正仿宋简体" w:eastAsia="方正仿宋简体" w:cs="方正仿宋简体"/>
          <w:sz w:val="32"/>
          <w:szCs w:val="32"/>
        </w:rPr>
        <w:t>）。</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（三）比上年增减情况</w:t>
      </w:r>
    </w:p>
    <w:p>
      <w:pPr>
        <w:spacing w:line="560" w:lineRule="exact"/>
        <w:ind w:firstLine="640" w:firstLineChars="20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与20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年相比，20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唐山市贸促</w:t>
      </w:r>
      <w:r>
        <w:rPr>
          <w:rFonts w:hint="eastAsia" w:ascii="方正仿宋简体" w:hAnsi="方正仿宋简体" w:eastAsia="方正仿宋简体" w:cs="方正仿宋简体"/>
          <w:sz w:val="32"/>
          <w:szCs w:val="32"/>
        </w:rPr>
        <w:t>会收支总预算</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13.60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其中人员经费增长</w:t>
      </w:r>
      <w:r>
        <w:rPr>
          <w:rFonts w:hint="eastAsia" w:ascii="方正仿宋简体" w:hAnsi="方正仿宋简体" w:eastAsia="方正仿宋简体" w:cs="方正仿宋简体"/>
          <w:sz w:val="32"/>
          <w:szCs w:val="32"/>
          <w:lang w:val="en-US" w:eastAsia="zh-CN"/>
        </w:rPr>
        <w:t>14.15万元，</w:t>
      </w:r>
      <w:r>
        <w:rPr>
          <w:rFonts w:hint="eastAsia" w:ascii="方正仿宋简体" w:hAnsi="方正仿宋简体" w:eastAsia="方正仿宋简体" w:cs="方正仿宋简体"/>
          <w:sz w:val="32"/>
          <w:szCs w:val="32"/>
        </w:rPr>
        <w:t>原因是</w:t>
      </w:r>
      <w:r>
        <w:rPr>
          <w:rFonts w:hint="eastAsia" w:ascii="方正仿宋简体" w:hAnsi="方正仿宋简体" w:eastAsia="方正仿宋简体" w:cs="方正仿宋简体"/>
          <w:sz w:val="32"/>
          <w:szCs w:val="32"/>
          <w:lang w:eastAsia="zh-CN"/>
        </w:rPr>
        <w:t>人员增加、工资调级调档、保险及公积金基数上调等因素</w:t>
      </w:r>
      <w:r>
        <w:rPr>
          <w:rFonts w:hint="eastAsia" w:ascii="方正仿宋简体" w:hAnsi="方正仿宋简体" w:eastAsia="方正仿宋简体" w:cs="方正仿宋简体"/>
          <w:sz w:val="32"/>
          <w:szCs w:val="32"/>
          <w:lang w:val="en-US" w:eastAsia="zh-CN"/>
        </w:rPr>
        <w:t>；正常公用经费增加1.79万元，原因为人员增加；专项公用经费减少2.34万元，原因为压减预算。</w:t>
      </w:r>
    </w:p>
    <w:p>
      <w:pPr>
        <w:spacing w:line="560" w:lineRule="exact"/>
        <w:ind w:firstLine="640" w:firstLineChars="200"/>
        <w:jc w:val="both"/>
        <w:rPr>
          <w:rFonts w:hint="eastAsia" w:ascii="方正仿宋简体" w:hAnsi="方正仿宋简体" w:eastAsia="方正仿宋简体" w:cs="方正仿宋简体"/>
          <w:sz w:val="32"/>
          <w:szCs w:val="32"/>
          <w:lang w:val="en-US" w:eastAsia="zh-CN"/>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年我会机关运行经费预算为</w:t>
      </w:r>
      <w:r>
        <w:rPr>
          <w:rFonts w:hint="eastAsia" w:ascii="方正仿宋简体" w:hAnsi="方正仿宋简体" w:eastAsia="方正仿宋简体" w:cs="方正仿宋简体"/>
          <w:sz w:val="32"/>
          <w:szCs w:val="32"/>
          <w:lang w:val="en-US" w:eastAsia="zh-CN"/>
        </w:rPr>
        <w:t>33.20</w:t>
      </w:r>
      <w:r>
        <w:rPr>
          <w:rFonts w:hint="eastAsia" w:ascii="方正仿宋简体" w:hAnsi="方正仿宋简体" w:eastAsia="方正仿宋简体" w:cs="方正仿宋简体"/>
          <w:sz w:val="32"/>
          <w:szCs w:val="32"/>
        </w:rPr>
        <w:t>万元。机关运行经费是指各部门的公用经费，主要包括办公及印刷费、邮电费、差旅费、</w:t>
      </w:r>
      <w:r>
        <w:rPr>
          <w:rFonts w:hint="eastAsia" w:ascii="方正仿宋简体" w:hAnsi="方正仿宋简体" w:eastAsia="方正仿宋简体" w:cs="方正仿宋简体"/>
          <w:sz w:val="32"/>
          <w:szCs w:val="32"/>
          <w:lang w:eastAsia="zh-CN"/>
        </w:rPr>
        <w:t>培训费</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公务接待费、工会经费、</w:t>
      </w:r>
      <w:r>
        <w:rPr>
          <w:rFonts w:hint="eastAsia" w:ascii="方正仿宋简体" w:hAnsi="方正仿宋简体" w:eastAsia="方正仿宋简体" w:cs="方正仿宋简体"/>
          <w:sz w:val="32"/>
          <w:szCs w:val="32"/>
        </w:rPr>
        <w:t>福利费、办公用房物业管理费、公务用车运行维护费以及其他费用等。</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60"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rPr>
        <w:t>20</w:t>
      </w:r>
      <w:r>
        <w:rPr>
          <w:rFonts w:hint="eastAsia" w:ascii="方正仿宋简体" w:hAnsi="方正仿宋简体" w:eastAsia="方正仿宋简体" w:cs="方正仿宋简体"/>
          <w:color w:val="auto"/>
          <w:sz w:val="32"/>
          <w:szCs w:val="32"/>
          <w:lang w:val="en-US" w:eastAsia="zh-CN"/>
        </w:rPr>
        <w:t>22</w:t>
      </w:r>
      <w:r>
        <w:rPr>
          <w:rFonts w:hint="eastAsia" w:ascii="方正仿宋简体" w:hAnsi="方正仿宋简体" w:eastAsia="方正仿宋简体" w:cs="方正仿宋简体"/>
          <w:color w:val="auto"/>
          <w:sz w:val="32"/>
          <w:szCs w:val="32"/>
        </w:rPr>
        <w:t>年我单位部门预算“三公</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经费</w:t>
      </w:r>
      <w:r>
        <w:rPr>
          <w:rFonts w:hint="eastAsia" w:ascii="方正仿宋简体" w:hAnsi="方正仿宋简体" w:eastAsia="方正仿宋简体" w:cs="方正仿宋简体"/>
          <w:color w:val="auto"/>
          <w:sz w:val="32"/>
          <w:szCs w:val="32"/>
          <w:lang w:eastAsia="zh-CN"/>
        </w:rPr>
        <w:t>预算安排</w:t>
      </w:r>
      <w:r>
        <w:rPr>
          <w:rFonts w:hint="eastAsia" w:ascii="方正仿宋简体" w:hAnsi="方正仿宋简体" w:eastAsia="方正仿宋简体" w:cs="方正仿宋简体"/>
          <w:color w:val="auto"/>
          <w:sz w:val="32"/>
          <w:szCs w:val="32"/>
          <w:lang w:val="en-US" w:eastAsia="zh-CN"/>
        </w:rPr>
        <w:t>2.65</w:t>
      </w:r>
      <w:r>
        <w:rPr>
          <w:rFonts w:hint="eastAsia" w:ascii="方正仿宋简体" w:hAnsi="方正仿宋简体" w:eastAsia="方正仿宋简体" w:cs="方正仿宋简体"/>
          <w:color w:val="auto"/>
          <w:sz w:val="32"/>
          <w:szCs w:val="32"/>
        </w:rPr>
        <w:t>万元，</w:t>
      </w:r>
      <w:r>
        <w:rPr>
          <w:rFonts w:hint="eastAsia" w:ascii="方正仿宋简体" w:hAnsi="方正仿宋简体" w:eastAsia="方正仿宋简体" w:cs="方正仿宋简体"/>
          <w:color w:val="auto"/>
          <w:sz w:val="32"/>
          <w:szCs w:val="32"/>
          <w:lang w:eastAsia="zh-CN"/>
        </w:rPr>
        <w:t>较</w:t>
      </w:r>
      <w:r>
        <w:rPr>
          <w:rFonts w:hint="eastAsia" w:ascii="方正仿宋简体" w:hAnsi="方正仿宋简体" w:eastAsia="方正仿宋简体" w:cs="方正仿宋简体"/>
          <w:color w:val="auto"/>
          <w:sz w:val="32"/>
          <w:szCs w:val="32"/>
          <w:lang w:val="en-US" w:eastAsia="zh-CN"/>
        </w:rPr>
        <w:t>2021年预算减少0.07万元。具体安排情况为：</w:t>
      </w:r>
    </w:p>
    <w:p>
      <w:pPr>
        <w:numPr>
          <w:ilvl w:val="0"/>
          <w:numId w:val="0"/>
        </w:numPr>
        <w:spacing w:line="560"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（一）公务用车购置及运行费。共计安排2.40万元，与上年持平。</w:t>
      </w:r>
    </w:p>
    <w:p>
      <w:pPr>
        <w:numPr>
          <w:ilvl w:val="0"/>
          <w:numId w:val="1"/>
        </w:numPr>
        <w:spacing w:line="560" w:lineRule="exact"/>
        <w:ind w:left="0" w:leftChars="0" w:firstLine="640" w:firstLineChars="200"/>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公务用车购置费0元。与上年持平，原因是无公务用车购置计划。</w:t>
      </w:r>
    </w:p>
    <w:p>
      <w:pPr>
        <w:numPr>
          <w:ilvl w:val="0"/>
          <w:numId w:val="1"/>
        </w:numPr>
        <w:spacing w:line="560" w:lineRule="exact"/>
        <w:ind w:left="0" w:leftChars="0" w:firstLine="640" w:firstLineChars="200"/>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公务用车运行维护经费安排2.40万元，</w:t>
      </w:r>
      <w:r>
        <w:rPr>
          <w:rFonts w:hint="eastAsia" w:ascii="方正仿宋简体" w:hAnsi="方正仿宋简体" w:eastAsia="方正仿宋简体" w:cs="方正仿宋简体"/>
          <w:color w:val="auto"/>
          <w:sz w:val="32"/>
          <w:szCs w:val="32"/>
          <w:lang w:eastAsia="zh-CN"/>
        </w:rPr>
        <w:t>与上年持平，</w:t>
      </w:r>
      <w:r>
        <w:rPr>
          <w:rFonts w:hint="eastAsia" w:ascii="方正仿宋简体" w:hAnsi="方正仿宋简体" w:eastAsia="方正仿宋简体" w:cs="方正仿宋简体"/>
          <w:color w:val="auto"/>
          <w:sz w:val="32"/>
          <w:szCs w:val="32"/>
          <w:lang w:val="en-US" w:eastAsia="zh-CN"/>
        </w:rPr>
        <w:t>原因是未发生车辆购置。</w:t>
      </w:r>
    </w:p>
    <w:p>
      <w:p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color w:val="auto"/>
          <w:sz w:val="32"/>
          <w:szCs w:val="32"/>
          <w:lang w:val="en-US" w:eastAsia="zh-CN"/>
        </w:rPr>
        <w:t>（二）公务接待费。安排0.25万元；较上年预算减少0.07万元。</w:t>
      </w:r>
      <w:r>
        <w:rPr>
          <w:rFonts w:hint="eastAsia" w:ascii="方正仿宋简体" w:hAnsi="方正仿宋简体" w:eastAsia="方正仿宋简体" w:cs="方正仿宋简体"/>
          <w:color w:val="auto"/>
          <w:sz w:val="32"/>
          <w:szCs w:val="32"/>
        </w:rPr>
        <w:t>原因</w:t>
      </w:r>
      <w:r>
        <w:rPr>
          <w:rFonts w:hint="eastAsia" w:ascii="方正仿宋简体" w:hAnsi="方正仿宋简体" w:eastAsia="方正仿宋简体" w:cs="方正仿宋简体"/>
          <w:color w:val="auto"/>
          <w:sz w:val="32"/>
          <w:szCs w:val="32"/>
          <w:lang w:eastAsia="zh-CN"/>
        </w:rPr>
        <w:t>为正常公用经费减少，相应计提的公务接待费也减少</w:t>
      </w:r>
      <w:r>
        <w:rPr>
          <w:rFonts w:hint="eastAsia" w:ascii="方正仿宋简体" w:hAnsi="方正仿宋简体" w:eastAsia="方正仿宋简体" w:cs="方正仿宋简体"/>
          <w:color w:val="auto"/>
          <w:sz w:val="32"/>
          <w:szCs w:val="32"/>
        </w:rPr>
        <w:t>。</w:t>
      </w:r>
    </w:p>
    <w:p>
      <w:pPr>
        <w:numPr>
          <w:ilvl w:val="0"/>
          <w:numId w:val="0"/>
        </w:num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color w:val="auto"/>
          <w:sz w:val="32"/>
          <w:szCs w:val="32"/>
          <w:lang w:val="en-US" w:eastAsia="zh-CN"/>
        </w:rPr>
        <w:t>（三）</w:t>
      </w:r>
      <w:r>
        <w:rPr>
          <w:rFonts w:hint="eastAsia" w:ascii="方正仿宋简体" w:hAnsi="方正仿宋简体" w:eastAsia="方正仿宋简体" w:cs="方正仿宋简体"/>
          <w:color w:val="auto"/>
          <w:sz w:val="32"/>
          <w:szCs w:val="32"/>
        </w:rPr>
        <w:t>因公出国</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境</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费</w:t>
      </w:r>
      <w:r>
        <w:rPr>
          <w:rFonts w:hint="eastAsia" w:ascii="方正仿宋简体" w:hAnsi="方正仿宋简体" w:eastAsia="方正仿宋简体" w:cs="方正仿宋简体"/>
          <w:color w:val="auto"/>
          <w:sz w:val="32"/>
          <w:szCs w:val="32"/>
          <w:lang w:eastAsia="zh-CN"/>
        </w:rPr>
        <w:t>安排</w:t>
      </w:r>
      <w:r>
        <w:rPr>
          <w:rFonts w:hint="eastAsia" w:ascii="方正仿宋简体" w:hAnsi="方正仿宋简体" w:eastAsia="方正仿宋简体" w:cs="方正仿宋简体"/>
          <w:color w:val="auto"/>
          <w:sz w:val="32"/>
          <w:szCs w:val="32"/>
        </w:rPr>
        <w:t>0万元，与</w:t>
      </w:r>
      <w:r>
        <w:rPr>
          <w:rFonts w:hint="eastAsia" w:ascii="方正仿宋简体" w:hAnsi="方正仿宋简体" w:eastAsia="方正仿宋简体" w:cs="方正仿宋简体"/>
          <w:color w:val="auto"/>
          <w:sz w:val="32"/>
          <w:szCs w:val="32"/>
          <w:lang w:eastAsia="zh-CN"/>
        </w:rPr>
        <w:t>上年</w:t>
      </w:r>
      <w:r>
        <w:rPr>
          <w:rFonts w:hint="eastAsia" w:ascii="方正仿宋简体" w:hAnsi="方正仿宋简体" w:eastAsia="方正仿宋简体" w:cs="方正仿宋简体"/>
          <w:color w:val="auto"/>
          <w:sz w:val="32"/>
          <w:szCs w:val="32"/>
        </w:rPr>
        <w:t>持平，原因是没有安排部门预算因公出国境费；</w:t>
      </w:r>
    </w:p>
    <w:p>
      <w:pPr>
        <w:pStyle w:val="22"/>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70" w:lineRule="exact"/>
        <w:ind w:firstLine="640" w:firstLineChars="200"/>
      </w:pPr>
      <w:r>
        <w:rPr>
          <w:rFonts w:hint="eastAsia" w:ascii="方正仿宋简体" w:hAnsi="方正仿宋简体" w:eastAsia="方正仿宋简体" w:cs="方正仿宋简体"/>
          <w:sz w:val="32"/>
          <w:szCs w:val="32"/>
        </w:rPr>
        <w:t>随着改革开放的深化，唐山工业的优势面临新的挑战，如何提高唐山的知名度，给唐山的经济增添新的活力，是市委、市政府、急迫解决的课题。市委、市政府组织国内专家进行了深入调研，扶持我市会展经济发展。根据《河北省会展业发展引导资金管理暂行办法》以及市委、市政府有关文件精神，会展经济发展资金补贴用于我市承办、组织大型会展和支持企业、参加国（境）内外知名会展活动，鼓励唐山相关会展项目继续做大做强。</w:t>
      </w:r>
    </w:p>
    <w:p>
      <w:pPr>
        <w:spacing w:line="500" w:lineRule="exact"/>
        <w:ind w:firstLine="560"/>
      </w:pPr>
      <w:r>
        <w:rPr>
          <w:rFonts w:eastAsia="方正仿宋_GBK"/>
          <w:color w:val="000000"/>
          <w:sz w:val="28"/>
        </w:rPr>
        <w:t>（二）分项绩效目标</w:t>
      </w:r>
    </w:p>
    <w:p>
      <w:pPr>
        <w:numPr>
          <w:ilvl w:val="0"/>
          <w:numId w:val="0"/>
        </w:numPr>
        <w:spacing w:line="570" w:lineRule="exact"/>
        <w:ind w:firstLine="640" w:firstLineChars="200"/>
        <w:rPr>
          <w:rFonts w:ascii="Times New Roman" w:hAnsi="Times New Roman" w:eastAsia="方正楷体简体"/>
          <w:sz w:val="32"/>
          <w:szCs w:val="32"/>
        </w:rPr>
      </w:pPr>
      <w:r>
        <w:rPr>
          <w:rFonts w:hint="eastAsia" w:ascii="Times New Roman" w:hAnsi="Times New Roman" w:eastAsia="方正楷体简体"/>
          <w:sz w:val="32"/>
          <w:szCs w:val="32"/>
          <w:lang w:val="en-US" w:eastAsia="zh-CN"/>
        </w:rPr>
        <w:t>1、</w:t>
      </w:r>
      <w:r>
        <w:rPr>
          <w:rFonts w:ascii="Times New Roman" w:hAnsi="Times New Roman" w:eastAsia="方正楷体简体"/>
          <w:sz w:val="32"/>
          <w:szCs w:val="32"/>
        </w:rPr>
        <w:t>会展工作</w:t>
      </w:r>
    </w:p>
    <w:p>
      <w:pPr>
        <w:spacing w:line="570" w:lineRule="exact"/>
        <w:ind w:firstLine="643" w:firstLineChars="200"/>
        <w:rPr>
          <w:rFonts w:hint="eastAsia" w:ascii="Times New Roman" w:hAnsi="Times New Roman" w:eastAsia="方正仿宋简体"/>
          <w:sz w:val="32"/>
          <w:szCs w:val="32"/>
          <w:lang w:val="en-US" w:eastAsia="zh-CN"/>
        </w:rPr>
      </w:pPr>
      <w:r>
        <w:rPr>
          <w:rFonts w:hint="eastAsia" w:ascii="Times New Roman" w:hAnsi="Times New Roman" w:eastAsia="方正仿宋简体"/>
          <w:b/>
          <w:bCs/>
          <w:sz w:val="32"/>
          <w:szCs w:val="32"/>
          <w:lang w:eastAsia="zh-CN"/>
        </w:rPr>
        <w:t>绩效目标：</w:t>
      </w:r>
      <w:r>
        <w:rPr>
          <w:rFonts w:ascii="Times New Roman" w:hAnsi="Times New Roman" w:eastAsia="方正仿宋简体"/>
          <w:b w:val="0"/>
          <w:bCs w:val="0"/>
          <w:sz w:val="32"/>
          <w:szCs w:val="32"/>
        </w:rPr>
        <w:t>继续做强唐山品牌展会。</w:t>
      </w:r>
      <w:r>
        <w:rPr>
          <w:rFonts w:ascii="Times New Roman" w:hAnsi="Times New Roman" w:eastAsia="方正仿宋简体"/>
          <w:sz w:val="32"/>
          <w:szCs w:val="32"/>
        </w:rPr>
        <w:t>重点培育会展领军企业，引导南湖国际会展中心以高端会议及专业展览为方向，东方国际会展中心以城市经济发展类展会为方向，逐步形成领军企业为龙头，中小企业为辅助，会展服务类企业相配套的会展市场体系；在完善提升既有陶瓷博览会等</w:t>
      </w:r>
      <w:r>
        <w:rPr>
          <w:rFonts w:ascii="Times New Roman" w:hAnsi="Times New Roman"/>
          <w:sz w:val="32"/>
          <w:szCs w:val="32"/>
        </w:rPr>
        <w:t>8</w:t>
      </w:r>
      <w:r>
        <w:rPr>
          <w:rFonts w:ascii="Times New Roman" w:hAnsi="Times New Roman" w:eastAsia="方正仿宋简体"/>
          <w:sz w:val="32"/>
          <w:szCs w:val="32"/>
        </w:rPr>
        <w:t>个品牌展会的基础上，培育引进进博会、机器人展、养老健康产业博览会等与我市产业发展相适应的展会。鼓励会展有关单位加强与上级部门、商协会、知名会展公司联系，引进知名展会；鼓励、引导、扶持企业依托互联网发展线上展示交易平台。</w:t>
      </w:r>
      <w:r>
        <w:rPr>
          <w:rFonts w:hint="eastAsia" w:ascii="Times New Roman" w:hAnsi="Times New Roman" w:eastAsia="方正仿宋简体"/>
          <w:sz w:val="32"/>
          <w:szCs w:val="32"/>
          <w:lang w:val="en-US" w:eastAsia="zh-CN"/>
        </w:rPr>
        <w:t xml:space="preserve">  </w:t>
      </w:r>
    </w:p>
    <w:p>
      <w:pPr>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br w:type="page"/>
      </w:r>
    </w:p>
    <w:p>
      <w:pPr>
        <w:spacing w:line="570" w:lineRule="exact"/>
        <w:ind w:firstLine="643" w:firstLineChars="200"/>
        <w:rPr>
          <w:rFonts w:hint="default" w:ascii="Times New Roman" w:hAnsi="Times New Roman" w:eastAsia="方正仿宋简体"/>
          <w:sz w:val="32"/>
          <w:szCs w:val="32"/>
          <w:lang w:val="en-US" w:eastAsia="zh-CN"/>
        </w:rPr>
      </w:pPr>
      <w:r>
        <w:rPr>
          <w:rFonts w:hint="eastAsia" w:ascii="Times New Roman" w:hAnsi="Times New Roman" w:eastAsia="方正仿宋简体"/>
          <w:b/>
          <w:bCs/>
          <w:sz w:val="32"/>
          <w:szCs w:val="32"/>
          <w:lang w:eastAsia="zh-CN"/>
        </w:rPr>
        <w:t>绩效指标：</w:t>
      </w:r>
      <w:r>
        <w:rPr>
          <w:rFonts w:hint="eastAsia" w:ascii="方正仿宋简体" w:hAnsi="方正仿宋简体" w:eastAsia="方正仿宋简体" w:cs="方正仿宋简体"/>
          <w:color w:val="000000"/>
          <w:kern w:val="0"/>
          <w:sz w:val="32"/>
          <w:szCs w:val="32"/>
        </w:rPr>
        <w:t>完成赴外地参展招展及会展培训；完成第四届中国冶金炉料交易博览会场地租金补贴资金支付；成功举办唐山中国陶瓷博览会；成功举办</w:t>
      </w:r>
      <w:r>
        <w:rPr>
          <w:rFonts w:ascii="方正仿宋简体" w:hAnsi="方正仿宋简体" w:eastAsia="方正仿宋简体" w:cs="方正仿宋简体"/>
          <w:color w:val="000000"/>
          <w:kern w:val="0"/>
          <w:sz w:val="32"/>
          <w:szCs w:val="32"/>
        </w:rPr>
        <w:t>20</w:t>
      </w:r>
      <w:r>
        <w:rPr>
          <w:rFonts w:hint="eastAsia" w:ascii="方正仿宋简体" w:hAnsi="方正仿宋简体" w:eastAsia="方正仿宋简体" w:cs="方正仿宋简体"/>
          <w:color w:val="000000"/>
          <w:kern w:val="0"/>
          <w:sz w:val="32"/>
          <w:szCs w:val="32"/>
        </w:rPr>
        <w:t>22唐山钢铁冶金工业博览会</w:t>
      </w:r>
      <w:r>
        <w:rPr>
          <w:rFonts w:hint="eastAsia" w:ascii="方正仿宋简体" w:hAnsi="方正仿宋简体" w:eastAsia="方正仿宋简体" w:cs="方正仿宋简体"/>
          <w:color w:val="000000"/>
          <w:kern w:val="0"/>
          <w:sz w:val="32"/>
          <w:szCs w:val="32"/>
          <w:lang w:eastAsia="zh-CN"/>
        </w:rPr>
        <w:t>；引进知名展会</w:t>
      </w:r>
      <w:r>
        <w:rPr>
          <w:rFonts w:hint="eastAsia" w:ascii="方正仿宋简体" w:hAnsi="方正仿宋简体" w:eastAsia="方正仿宋简体" w:cs="方正仿宋简体"/>
          <w:color w:val="000000"/>
          <w:kern w:val="0"/>
          <w:sz w:val="32"/>
          <w:szCs w:val="32"/>
          <w:lang w:val="en-US" w:eastAsia="zh-CN"/>
        </w:rPr>
        <w:t>4-5个。</w:t>
      </w:r>
    </w:p>
    <w:p>
      <w:pPr>
        <w:spacing w:line="570" w:lineRule="exact"/>
        <w:ind w:firstLine="643" w:firstLineChars="200"/>
        <w:rPr>
          <w:rFonts w:ascii="Times New Roman" w:hAnsi="Times New Roman" w:eastAsia="方正仿宋简体"/>
          <w:sz w:val="32"/>
          <w:szCs w:val="32"/>
        </w:rPr>
      </w:pPr>
      <w:r>
        <w:rPr>
          <w:rFonts w:hint="eastAsia" w:ascii="Times New Roman" w:hAnsi="Times New Roman" w:eastAsia="方正仿宋简体"/>
          <w:b/>
          <w:bCs/>
          <w:sz w:val="32"/>
          <w:szCs w:val="32"/>
          <w:lang w:eastAsia="zh-CN"/>
        </w:rPr>
        <w:t>绩效目标：</w:t>
      </w:r>
      <w:r>
        <w:rPr>
          <w:rFonts w:ascii="Times New Roman" w:hAnsi="Times New Roman" w:eastAsia="方正仿宋简体"/>
          <w:b w:val="0"/>
          <w:bCs w:val="0"/>
          <w:sz w:val="32"/>
          <w:szCs w:val="32"/>
        </w:rPr>
        <w:t>继续放大会展能动效应。</w:t>
      </w:r>
      <w:r>
        <w:rPr>
          <w:rFonts w:ascii="Times New Roman" w:hAnsi="Times New Roman" w:eastAsia="方正仿宋简体"/>
          <w:sz w:val="32"/>
          <w:szCs w:val="32"/>
        </w:rPr>
        <w:t>在展会期间，通过举办有针对性的人才交流会等活动，吸引更多的相关人才落户我市；通过配套举办高新技术对接会、高新技术成果展示会等活动，促进科技成果转化；通过配套举办经贸洽谈会、招商对接会等活动，加大招商引资力度，放大展会效应。按照</w:t>
      </w:r>
      <w:r>
        <w:rPr>
          <w:rFonts w:hint="eastAsia" w:ascii="Times New Roman" w:hAnsi="Times New Roman" w:eastAsia="方正仿宋简体"/>
          <w:sz w:val="32"/>
          <w:szCs w:val="32"/>
        </w:rPr>
        <w:t>“</w:t>
      </w:r>
      <w:r>
        <w:rPr>
          <w:rFonts w:ascii="Times New Roman" w:hAnsi="Times New Roman" w:eastAsia="方正仿宋简体"/>
          <w:sz w:val="32"/>
          <w:szCs w:val="32"/>
        </w:rPr>
        <w:t>依托一个特色产业、打造一个品牌展会、带动一方发展</w:t>
      </w:r>
      <w:r>
        <w:rPr>
          <w:rFonts w:hint="eastAsia" w:ascii="Times New Roman" w:hAnsi="Times New Roman" w:eastAsia="方正仿宋简体"/>
          <w:sz w:val="32"/>
          <w:szCs w:val="32"/>
        </w:rPr>
        <w:t>”</w:t>
      </w:r>
      <w:r>
        <w:rPr>
          <w:rFonts w:ascii="Times New Roman" w:hAnsi="Times New Roman" w:eastAsia="方正仿宋简体"/>
          <w:sz w:val="32"/>
          <w:szCs w:val="32"/>
        </w:rPr>
        <w:t>和</w:t>
      </w:r>
      <w:r>
        <w:rPr>
          <w:rFonts w:hint="eastAsia" w:ascii="Times New Roman" w:hAnsi="Times New Roman" w:eastAsia="方正仿宋简体"/>
          <w:sz w:val="32"/>
          <w:szCs w:val="32"/>
        </w:rPr>
        <w:t>“</w:t>
      </w:r>
      <w:r>
        <w:rPr>
          <w:rFonts w:ascii="Times New Roman" w:hAnsi="Times New Roman" w:eastAsia="方正仿宋简体"/>
          <w:sz w:val="32"/>
          <w:szCs w:val="32"/>
        </w:rPr>
        <w:t>提升传统会展、培育新兴会展</w:t>
      </w:r>
      <w:r>
        <w:rPr>
          <w:rFonts w:hint="eastAsia" w:ascii="Times New Roman" w:hAnsi="Times New Roman" w:eastAsia="方正仿宋简体"/>
          <w:sz w:val="32"/>
          <w:szCs w:val="32"/>
        </w:rPr>
        <w:t>”</w:t>
      </w:r>
      <w:r>
        <w:rPr>
          <w:rFonts w:ascii="Times New Roman" w:hAnsi="Times New Roman" w:eastAsia="方正仿宋简体"/>
          <w:sz w:val="32"/>
          <w:szCs w:val="32"/>
        </w:rPr>
        <w:t>的思路，引导我市各县（市）区打造品牌展会，实现当地特色产业与会展产业互动发展。继续组织企业参加外地精品展会，提升唐山企业的经济效益和品牌影响力。</w:t>
      </w:r>
    </w:p>
    <w:p>
      <w:pPr>
        <w:spacing w:line="570" w:lineRule="exact"/>
        <w:ind w:firstLine="643" w:firstLineChars="200"/>
        <w:rPr>
          <w:rFonts w:hint="eastAsia" w:ascii="Times New Roman" w:hAnsi="Times New Roman" w:eastAsia="方正仿宋简体"/>
          <w:sz w:val="32"/>
          <w:szCs w:val="32"/>
          <w:lang w:eastAsia="zh-CN"/>
        </w:rPr>
      </w:pPr>
      <w:r>
        <w:rPr>
          <w:rFonts w:hint="eastAsia" w:ascii="Times New Roman" w:hAnsi="Times New Roman" w:eastAsia="方正仿宋简体"/>
          <w:b/>
          <w:bCs/>
          <w:sz w:val="32"/>
          <w:szCs w:val="32"/>
          <w:lang w:eastAsia="zh-CN"/>
        </w:rPr>
        <w:t>绩效指标：</w:t>
      </w:r>
      <w:r>
        <w:rPr>
          <w:rFonts w:hint="eastAsia" w:ascii="Times New Roman" w:hAnsi="Times New Roman" w:eastAsia="方正仿宋简体"/>
          <w:sz w:val="32"/>
          <w:szCs w:val="32"/>
          <w:lang w:eastAsia="zh-CN"/>
        </w:rPr>
        <w:t>举办人参交流会</w:t>
      </w:r>
      <w:r>
        <w:rPr>
          <w:rFonts w:hint="eastAsia" w:ascii="Times New Roman" w:hAnsi="Times New Roman" w:eastAsia="方正仿宋简体"/>
          <w:sz w:val="32"/>
          <w:szCs w:val="32"/>
          <w:lang w:val="en-US" w:eastAsia="zh-CN"/>
        </w:rPr>
        <w:t>1次</w:t>
      </w:r>
      <w:r>
        <w:rPr>
          <w:rFonts w:hint="eastAsia" w:ascii="Times New Roman" w:hAnsi="Times New Roman" w:eastAsia="方正仿宋简体"/>
          <w:sz w:val="32"/>
          <w:szCs w:val="32"/>
          <w:lang w:eastAsia="zh-CN"/>
        </w:rPr>
        <w:t>；举办经贸洽谈会、招商对接会</w:t>
      </w:r>
      <w:r>
        <w:rPr>
          <w:rFonts w:hint="eastAsia" w:ascii="Times New Roman" w:hAnsi="Times New Roman" w:eastAsia="方正仿宋简体"/>
          <w:sz w:val="32"/>
          <w:szCs w:val="32"/>
          <w:lang w:val="en-US" w:eastAsia="zh-CN"/>
        </w:rPr>
        <w:t>2-3次</w:t>
      </w:r>
      <w:r>
        <w:rPr>
          <w:rFonts w:hint="eastAsia" w:ascii="Times New Roman" w:hAnsi="Times New Roman" w:eastAsia="方正仿宋简体"/>
          <w:sz w:val="32"/>
          <w:szCs w:val="32"/>
          <w:lang w:eastAsia="zh-CN"/>
        </w:rPr>
        <w:t>。</w:t>
      </w:r>
    </w:p>
    <w:p>
      <w:pPr>
        <w:spacing w:line="570" w:lineRule="exact"/>
        <w:ind w:firstLine="640" w:firstLineChars="200"/>
        <w:rPr>
          <w:rFonts w:ascii="Times New Roman" w:hAnsi="Times New Roman" w:eastAsia="方正楷体简体"/>
          <w:sz w:val="32"/>
          <w:szCs w:val="32"/>
        </w:rPr>
      </w:pPr>
      <w:r>
        <w:rPr>
          <w:rFonts w:hint="eastAsia" w:ascii="Times New Roman" w:hAnsi="Times New Roman" w:eastAsia="方正楷体简体"/>
          <w:sz w:val="32"/>
          <w:szCs w:val="32"/>
          <w:lang w:val="en-US" w:eastAsia="zh-CN"/>
        </w:rPr>
        <w:t>2、</w:t>
      </w:r>
      <w:r>
        <w:rPr>
          <w:rFonts w:ascii="Times New Roman" w:hAnsi="Times New Roman" w:eastAsia="方正楷体简体"/>
          <w:sz w:val="32"/>
          <w:szCs w:val="32"/>
        </w:rPr>
        <w:t>对外联络、贸易投资促进工作</w:t>
      </w:r>
    </w:p>
    <w:p>
      <w:pPr>
        <w:spacing w:line="570" w:lineRule="exact"/>
        <w:ind w:firstLine="643" w:firstLineChars="200"/>
        <w:rPr>
          <w:rFonts w:hint="eastAsia" w:ascii="Times New Roman" w:hAnsi="Times New Roman" w:eastAsia="方正仿宋简体"/>
          <w:b w:val="0"/>
          <w:bCs w:val="0"/>
          <w:sz w:val="32"/>
          <w:szCs w:val="32"/>
          <w:lang w:eastAsia="zh-CN"/>
        </w:rPr>
      </w:pPr>
      <w:r>
        <w:rPr>
          <w:rFonts w:hint="eastAsia" w:ascii="Times New Roman" w:hAnsi="Times New Roman" w:eastAsia="方正仿宋简体"/>
          <w:b/>
          <w:bCs/>
          <w:sz w:val="32"/>
          <w:szCs w:val="32"/>
          <w:lang w:eastAsia="zh-CN"/>
        </w:rPr>
        <w:t>绩效目标：</w:t>
      </w:r>
      <w:r>
        <w:rPr>
          <w:rFonts w:ascii="Times New Roman" w:hAnsi="Times New Roman" w:eastAsia="方正仿宋简体"/>
          <w:b w:val="0"/>
          <w:bCs w:val="0"/>
          <w:sz w:val="32"/>
          <w:szCs w:val="32"/>
        </w:rPr>
        <w:t>夯实国际联络基础，争取经贸交流合作新突破</w:t>
      </w:r>
      <w:r>
        <w:rPr>
          <w:rFonts w:hint="eastAsia" w:ascii="Times New Roman" w:hAnsi="Times New Roman" w:eastAsia="方正仿宋简体"/>
          <w:b w:val="0"/>
          <w:bCs w:val="0"/>
          <w:sz w:val="32"/>
          <w:szCs w:val="32"/>
          <w:lang w:eastAsia="zh-CN"/>
        </w:rPr>
        <w:t>。</w:t>
      </w:r>
    </w:p>
    <w:p>
      <w:pPr>
        <w:spacing w:line="570" w:lineRule="exact"/>
        <w:ind w:firstLine="643" w:firstLineChars="200"/>
        <w:rPr>
          <w:rFonts w:ascii="Times New Roman" w:hAnsi="Times New Roman" w:eastAsia="方正仿宋简体"/>
          <w:sz w:val="32"/>
          <w:szCs w:val="32"/>
        </w:rPr>
      </w:pPr>
      <w:r>
        <w:rPr>
          <w:rFonts w:hint="eastAsia" w:ascii="Times New Roman" w:hAnsi="Times New Roman" w:eastAsia="方正仿宋简体"/>
          <w:b/>
          <w:bCs/>
          <w:sz w:val="32"/>
          <w:szCs w:val="32"/>
          <w:lang w:eastAsia="zh-CN"/>
        </w:rPr>
        <w:t>绩效指标：</w:t>
      </w:r>
      <w:r>
        <w:rPr>
          <w:rFonts w:ascii="Times New Roman" w:hAnsi="Times New Roman" w:eastAsia="方正仿宋简体"/>
          <w:sz w:val="32"/>
          <w:szCs w:val="32"/>
        </w:rPr>
        <w:t>与3家国际经贸机构建立联系合作，线上联系、实地走访15家国内外经贸机构、商协会组织，组织线上线下参加10次国内外经贸会展活动，帮助有关县区促成1</w:t>
      </w:r>
      <w:r>
        <w:rPr>
          <w:rFonts w:hint="eastAsia" w:ascii="Times New Roman" w:hAnsi="Times New Roman" w:eastAsia="方正仿宋简体"/>
          <w:sz w:val="32"/>
          <w:szCs w:val="32"/>
        </w:rPr>
        <w:t>-</w:t>
      </w:r>
      <w:r>
        <w:rPr>
          <w:rFonts w:ascii="Times New Roman" w:hAnsi="Times New Roman" w:eastAsia="方正仿宋简体"/>
          <w:sz w:val="32"/>
          <w:szCs w:val="32"/>
        </w:rPr>
        <w:t>2个经贸合作项目。</w:t>
      </w:r>
    </w:p>
    <w:p>
      <w:pPr>
        <w:spacing w:line="570" w:lineRule="exact"/>
        <w:ind w:firstLine="640" w:firstLineChars="200"/>
        <w:rPr>
          <w:rFonts w:ascii="Times New Roman" w:hAnsi="Times New Roman" w:eastAsia="方正楷体简体"/>
          <w:sz w:val="32"/>
          <w:szCs w:val="32"/>
        </w:rPr>
      </w:pPr>
      <w:r>
        <w:rPr>
          <w:rFonts w:hint="eastAsia" w:ascii="Times New Roman" w:hAnsi="Times New Roman" w:eastAsia="方正楷体简体"/>
          <w:sz w:val="32"/>
          <w:szCs w:val="32"/>
          <w:lang w:val="en-US" w:eastAsia="zh-CN"/>
        </w:rPr>
        <w:t>3、</w:t>
      </w:r>
      <w:r>
        <w:rPr>
          <w:rFonts w:ascii="Times New Roman" w:hAnsi="Times New Roman" w:eastAsia="方正楷体简体"/>
          <w:sz w:val="32"/>
          <w:szCs w:val="32"/>
        </w:rPr>
        <w:t>商事法律服务工作</w:t>
      </w:r>
    </w:p>
    <w:p>
      <w:pPr>
        <w:spacing w:line="570" w:lineRule="exact"/>
        <w:ind w:firstLine="643" w:firstLineChars="200"/>
        <w:rPr>
          <w:rFonts w:ascii="Times New Roman" w:hAnsi="Times New Roman" w:eastAsia="方正仿宋简体"/>
          <w:sz w:val="32"/>
          <w:szCs w:val="32"/>
        </w:rPr>
      </w:pPr>
      <w:r>
        <w:rPr>
          <w:rFonts w:hint="eastAsia" w:ascii="Times New Roman" w:hAnsi="Times New Roman" w:eastAsia="方正仿宋简体"/>
          <w:b/>
          <w:bCs/>
          <w:sz w:val="32"/>
          <w:szCs w:val="32"/>
          <w:lang w:eastAsia="zh-CN"/>
        </w:rPr>
        <w:t>绩效目标：</w:t>
      </w:r>
      <w:r>
        <w:rPr>
          <w:rFonts w:ascii="Times New Roman" w:hAnsi="Times New Roman" w:eastAsia="方正仿宋简体"/>
          <w:sz w:val="32"/>
          <w:szCs w:val="32"/>
        </w:rPr>
        <w:t>着力提升风险预警信息工作，最大限度、最及时地为我市企业提供风险预警信息服务，最大程度降低疫情给我市外贸企业带来的影响、降低非贸易壁垒对我市外贸企业的影响，着力稳住我市外贸基本盘。指导我市外贸企业用足用好自由贸易协定优惠原产地政策，提高我市商品的国际竞争力，做好巴基斯坦优惠原产地证明的宣传、推广工作。同时学习RCEP协定签订的背景、意义以及未来对我市外贸行业的影响等，为准备RCEP协定项下原产地签证工作打好基础。最大程度简化出证认证手续，提高企业出证率，做好稳外贸工作。积极推进外贸企业</w:t>
      </w:r>
      <w:r>
        <w:rPr>
          <w:rFonts w:hint="eastAsia" w:ascii="Times New Roman" w:hAnsi="Times New Roman" w:eastAsia="方正仿宋简体"/>
          <w:sz w:val="32"/>
          <w:szCs w:val="32"/>
        </w:rPr>
        <w:t>“</w:t>
      </w:r>
      <w:r>
        <w:rPr>
          <w:rFonts w:ascii="Times New Roman" w:hAnsi="Times New Roman" w:eastAsia="方正仿宋简体"/>
          <w:sz w:val="32"/>
          <w:szCs w:val="32"/>
        </w:rPr>
        <w:t>两证合一</w:t>
      </w:r>
      <w:r>
        <w:rPr>
          <w:rFonts w:hint="eastAsia" w:ascii="Times New Roman" w:hAnsi="Times New Roman" w:eastAsia="方正仿宋简体"/>
          <w:sz w:val="32"/>
          <w:szCs w:val="32"/>
        </w:rPr>
        <w:t>”</w:t>
      </w:r>
      <w:r>
        <w:rPr>
          <w:rFonts w:ascii="Times New Roman" w:hAnsi="Times New Roman" w:eastAsia="方正仿宋简体"/>
          <w:sz w:val="32"/>
          <w:szCs w:val="32"/>
        </w:rPr>
        <w:t>工作。实现</w:t>
      </w:r>
      <w:r>
        <w:rPr>
          <w:rFonts w:hint="eastAsia" w:ascii="Times New Roman" w:hAnsi="Times New Roman" w:eastAsia="方正仿宋简体"/>
          <w:sz w:val="32"/>
          <w:szCs w:val="32"/>
        </w:rPr>
        <w:t>“</w:t>
      </w:r>
      <w:r>
        <w:rPr>
          <w:rFonts w:ascii="Times New Roman" w:hAnsi="Times New Roman" w:eastAsia="方正仿宋简体"/>
          <w:sz w:val="32"/>
          <w:szCs w:val="32"/>
        </w:rPr>
        <w:t>信息多跑路，企业少跑腿</w:t>
      </w:r>
      <w:r>
        <w:rPr>
          <w:rFonts w:hint="eastAsia" w:ascii="Times New Roman" w:hAnsi="Times New Roman" w:eastAsia="方正仿宋简体"/>
          <w:sz w:val="32"/>
          <w:szCs w:val="32"/>
        </w:rPr>
        <w:t>”，</w:t>
      </w:r>
      <w:r>
        <w:rPr>
          <w:rFonts w:ascii="Times New Roman" w:hAnsi="Times New Roman" w:eastAsia="方正仿宋简体"/>
          <w:sz w:val="32"/>
          <w:szCs w:val="32"/>
        </w:rPr>
        <w:t>提高企业申领意愿。积极引导企业充分享受各项惠企政策带来的红利，努力在危机中育新机，不断提高防范化解风险能力。</w:t>
      </w:r>
    </w:p>
    <w:p>
      <w:pPr>
        <w:spacing w:line="570" w:lineRule="exact"/>
        <w:ind w:firstLine="640" w:firstLineChars="200"/>
      </w:pPr>
      <w:r>
        <w:rPr>
          <w:rFonts w:hint="eastAsia" w:ascii="Times New Roman" w:hAnsi="Times New Roman" w:eastAsia="方正仿宋简体"/>
          <w:sz w:val="32"/>
          <w:szCs w:val="32"/>
          <w:lang w:eastAsia="zh-CN"/>
        </w:rPr>
        <w:t>绩效指标：签发原产地证书6000份；提供风险预警信息</w:t>
      </w:r>
      <w:r>
        <w:rPr>
          <w:rFonts w:hint="eastAsia" w:ascii="Times New Roman" w:hAnsi="Times New Roman" w:eastAsia="方正仿宋简体"/>
          <w:sz w:val="32"/>
          <w:szCs w:val="32"/>
          <w:lang w:val="en-US" w:eastAsia="zh-CN"/>
        </w:rPr>
        <w:t>150条；开展法律培训会议1次；提供法律援助服务10次。</w:t>
      </w:r>
    </w:p>
    <w:p>
      <w:pPr>
        <w:spacing w:line="500" w:lineRule="exact"/>
        <w:ind w:firstLine="560"/>
      </w:pPr>
      <w:r>
        <w:rPr>
          <w:rFonts w:eastAsia="方正仿宋_GBK"/>
          <w:color w:val="000000"/>
          <w:sz w:val="28"/>
        </w:rPr>
        <w:t>（三）工作保障措施</w:t>
      </w:r>
    </w:p>
    <w:p>
      <w:pPr>
        <w:spacing w:line="600" w:lineRule="exact"/>
        <w:ind w:firstLine="630"/>
        <w:rPr>
          <w:rFonts w:ascii="仿宋" w:hAnsi="仿宋" w:eastAsia="仿宋"/>
          <w:sz w:val="32"/>
          <w:szCs w:val="32"/>
        </w:rPr>
      </w:pPr>
      <w:r>
        <w:rPr>
          <w:rFonts w:ascii="仿宋" w:hAnsi="仿宋" w:eastAsia="仿宋"/>
          <w:b/>
          <w:sz w:val="32"/>
          <w:szCs w:val="32"/>
        </w:rPr>
        <w:t>完善制度建设。</w:t>
      </w:r>
      <w:r>
        <w:rPr>
          <w:rFonts w:ascii="仿宋" w:hAnsi="仿宋" w:eastAsia="仿宋"/>
          <w:sz w:val="32"/>
          <w:szCs w:val="32"/>
        </w:rPr>
        <w:t>制定完善</w:t>
      </w:r>
      <w:r>
        <w:rPr>
          <w:rFonts w:hint="eastAsia" w:ascii="仿宋" w:hAnsi="仿宋" w:eastAsia="仿宋"/>
          <w:sz w:val="32"/>
          <w:szCs w:val="32"/>
          <w:lang w:eastAsia="zh-CN"/>
        </w:rPr>
        <w:t>贸促会</w:t>
      </w:r>
      <w:r>
        <w:rPr>
          <w:rFonts w:ascii="仿宋" w:hAnsi="仿宋" w:eastAsia="仿宋"/>
          <w:sz w:val="32"/>
          <w:szCs w:val="32"/>
        </w:rPr>
        <w:t>预算绩效管理制度、资金管理办法、工作保障制度等，为全年预算绩效目标的实现奠定制度基础。</w:t>
      </w:r>
    </w:p>
    <w:p>
      <w:pPr>
        <w:spacing w:line="600" w:lineRule="exact"/>
        <w:ind w:firstLine="630"/>
        <w:rPr>
          <w:rFonts w:ascii="仿宋" w:hAnsi="仿宋" w:eastAsia="仿宋"/>
          <w:sz w:val="32"/>
          <w:szCs w:val="32"/>
        </w:rPr>
      </w:pPr>
      <w:r>
        <w:rPr>
          <w:rFonts w:ascii="仿宋" w:hAnsi="仿宋" w:eastAsia="仿宋"/>
          <w:b/>
          <w:sz w:val="32"/>
          <w:szCs w:val="32"/>
        </w:rPr>
        <w:t>加强支出管理。</w:t>
      </w:r>
      <w:r>
        <w:rPr>
          <w:rFonts w:ascii="仿宋" w:hAnsi="仿宋" w:eastAsia="仿宋"/>
          <w:sz w:val="32"/>
          <w:szCs w:val="32"/>
        </w:rPr>
        <w:t>通过优化支出结构、编细编实预算、加快履行政府采购手续、尽快启动项目、及时支付资金、6月底前细化代编预算、按规定及时下达资金等多种措施，确保支出进度达标。</w:t>
      </w:r>
    </w:p>
    <w:p>
      <w:pPr>
        <w:spacing w:line="600" w:lineRule="exact"/>
        <w:ind w:firstLine="630"/>
        <w:rPr>
          <w:rFonts w:ascii="仿宋" w:hAnsi="仿宋" w:eastAsia="仿宋"/>
          <w:sz w:val="32"/>
          <w:szCs w:val="32"/>
        </w:rPr>
      </w:pPr>
      <w:r>
        <w:rPr>
          <w:rFonts w:ascii="仿宋" w:hAnsi="仿宋" w:eastAsia="仿宋"/>
          <w:b/>
          <w:sz w:val="32"/>
          <w:szCs w:val="32"/>
        </w:rPr>
        <w:t>加强绩效运行监控。</w:t>
      </w:r>
      <w:r>
        <w:rPr>
          <w:rFonts w:ascii="仿宋" w:hAnsi="仿宋" w:eastAsia="仿宋"/>
          <w:sz w:val="32"/>
          <w:szCs w:val="32"/>
        </w:rPr>
        <w:t>按要求开展绩效运行监控，发现问题及时采取措施，确保绩效目标如期保质实现。</w:t>
      </w:r>
    </w:p>
    <w:p>
      <w:pPr>
        <w:spacing w:line="600" w:lineRule="exact"/>
        <w:ind w:firstLine="630"/>
        <w:rPr>
          <w:rFonts w:ascii="仿宋" w:hAnsi="仿宋" w:eastAsia="仿宋"/>
          <w:sz w:val="32"/>
          <w:szCs w:val="32"/>
        </w:rPr>
      </w:pPr>
      <w:r>
        <w:rPr>
          <w:rFonts w:ascii="仿宋" w:hAnsi="仿宋" w:eastAsia="仿宋"/>
          <w:b/>
          <w:sz w:val="32"/>
          <w:szCs w:val="32"/>
        </w:rPr>
        <w:t>做好绩效自评。</w:t>
      </w:r>
      <w:r>
        <w:rPr>
          <w:rFonts w:ascii="仿宋" w:hAnsi="仿宋" w:eastAsia="仿宋"/>
          <w:sz w:val="32"/>
          <w:szCs w:val="32"/>
        </w:rPr>
        <w:t>按要求开展上年度部门预算绩效自评和重点评价工作，对评价中发现的问题及时整改，调整优化支出结构，提高财政资金使用效益。</w:t>
      </w:r>
    </w:p>
    <w:p>
      <w:pPr>
        <w:spacing w:line="600" w:lineRule="exact"/>
        <w:ind w:firstLine="630"/>
        <w:rPr>
          <w:rFonts w:ascii="仿宋" w:hAnsi="仿宋" w:eastAsia="仿宋"/>
          <w:sz w:val="32"/>
          <w:szCs w:val="32"/>
        </w:rPr>
      </w:pPr>
      <w:r>
        <w:rPr>
          <w:rFonts w:ascii="仿宋" w:hAnsi="仿宋" w:eastAsia="仿宋"/>
          <w:b/>
          <w:sz w:val="32"/>
          <w:szCs w:val="32"/>
        </w:rPr>
        <w:t>规范财务资产管理。</w:t>
      </w:r>
      <w:r>
        <w:rPr>
          <w:rFonts w:ascii="仿宋" w:hAnsi="仿宋" w:eastAsia="仿宋"/>
          <w:sz w:val="32"/>
          <w:szCs w:val="32"/>
        </w:rPr>
        <w:t>完善财务管理制度，严格审批程序，加强固定资产登记、使用和报废处置管理，做到支出合理，物尽其用。</w:t>
      </w:r>
    </w:p>
    <w:p>
      <w:pPr>
        <w:spacing w:line="600" w:lineRule="exact"/>
        <w:ind w:firstLine="630"/>
        <w:rPr>
          <w:rFonts w:ascii="仿宋" w:hAnsi="仿宋" w:eastAsia="仿宋"/>
          <w:sz w:val="32"/>
          <w:szCs w:val="32"/>
        </w:rPr>
      </w:pPr>
      <w:r>
        <w:rPr>
          <w:rFonts w:ascii="仿宋" w:hAnsi="仿宋" w:eastAsia="仿宋"/>
          <w:b/>
          <w:sz w:val="32"/>
          <w:szCs w:val="32"/>
        </w:rPr>
        <w:t>加强内部监督。</w:t>
      </w:r>
      <w:r>
        <w:rPr>
          <w:rFonts w:ascii="仿宋" w:hAnsi="仿宋" w:eastAsia="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600" w:lineRule="exact"/>
        <w:ind w:firstLine="630"/>
      </w:pPr>
      <w:r>
        <w:rPr>
          <w:rFonts w:ascii="仿宋" w:hAnsi="仿宋" w:eastAsia="仿宋"/>
          <w:b/>
          <w:sz w:val="32"/>
          <w:szCs w:val="32"/>
        </w:rPr>
        <w:t>加强宣传培训调研等。</w:t>
      </w:r>
      <w:r>
        <w:rPr>
          <w:rFonts w:ascii="仿宋" w:hAnsi="仿宋" w:eastAsia="仿宋"/>
          <w:sz w:val="32"/>
          <w:szCs w:val="32"/>
        </w:rPr>
        <w:t>加强人员培训，提高</w:t>
      </w:r>
      <w:r>
        <w:rPr>
          <w:rFonts w:hint="eastAsia" w:ascii="仿宋" w:hAnsi="仿宋" w:eastAsia="仿宋"/>
          <w:sz w:val="32"/>
          <w:szCs w:val="32"/>
          <w:lang w:eastAsia="zh-CN"/>
        </w:rPr>
        <w:t>贸促会</w:t>
      </w:r>
      <w:r>
        <w:rPr>
          <w:rFonts w:ascii="仿宋" w:hAnsi="仿宋" w:eastAsia="仿宋"/>
          <w:sz w:val="32"/>
          <w:szCs w:val="32"/>
        </w:rPr>
        <w:t>职工业务素质；加强调研，提出优化财政资金配置、提高资金使用效益的意见；加大宣传力度，强化预算绩效管理意识，促进预算绩效管理水平进一步提升。</w:t>
      </w:r>
    </w:p>
    <w:p>
      <w:pPr>
        <w:numPr>
          <w:ilvl w:val="0"/>
          <w:numId w:val="2"/>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textAlignment w:val="auto"/>
        <w:rPr>
          <w:rFonts w:hint="default" w:ascii="方正楷体_GBK" w:hAnsi="方正楷体_GBK" w:eastAsia="方正楷体_GBK" w:cs="方正楷体_GBK"/>
          <w:b/>
          <w:color w:val="000000"/>
          <w:sz w:val="32"/>
          <w:lang w:val="en-US" w:eastAsia="zh-CN"/>
        </w:rPr>
      </w:pPr>
      <w:r>
        <w:rPr>
          <w:rFonts w:hint="eastAsia" w:ascii="方正楷体_GBK" w:hAnsi="方正楷体_GBK" w:eastAsia="方正楷体_GBK" w:cs="方正楷体_GBK"/>
          <w:b/>
          <w:color w:val="000000"/>
          <w:sz w:val="32"/>
          <w:lang w:val="en-US" w:eastAsia="zh-CN"/>
        </w:rPr>
        <w:t>无</w:t>
      </w:r>
    </w:p>
    <w:p>
      <w:pPr>
        <w:pStyle w:val="26"/>
        <w:ind w:firstLine="640"/>
      </w:pPr>
      <w:r>
        <w:rPr>
          <w:rFonts w:ascii="方正楷体_GBK" w:hAnsi="方正楷体_GBK" w:eastAsia="方正楷体_GBK" w:cs="方正楷体_GBK"/>
          <w:b/>
          <w:color w:val="000000"/>
          <w:sz w:val="32"/>
        </w:rPr>
        <w:t>第三部分  预算项目绩效目标</w:t>
      </w:r>
    </w:p>
    <w:p>
      <w:pPr>
        <w:pStyle w:val="26"/>
        <w:ind w:firstLine="560"/>
      </w:pPr>
      <w:r>
        <w:rPr>
          <w:rFonts w:ascii="方正仿宋_GBK" w:hAnsi="方正仿宋_GBK" w:eastAsia="方正仿宋_GBK" w:cs="方正仿宋_GBK"/>
          <w:b/>
          <w:color w:val="000000"/>
          <w:sz w:val="28"/>
        </w:rPr>
        <w:t>1、办公设备购置绩效目标表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1.做好购置各种等工作,保障单位业务发展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设备和专用材料购置完成率</w:t>
            </w:r>
          </w:p>
        </w:tc>
        <w:tc>
          <w:tcPr>
            <w:tcW w:w="2835" w:type="dxa"/>
            <w:vAlign w:val="center"/>
          </w:tcPr>
          <w:p>
            <w:pPr>
              <w:pStyle w:val="28"/>
            </w:pPr>
            <w:r>
              <w:t>设备和专用材料购置完成率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验收合格率</w:t>
            </w:r>
          </w:p>
        </w:tc>
        <w:tc>
          <w:tcPr>
            <w:tcW w:w="2835" w:type="dxa"/>
            <w:vAlign w:val="center"/>
          </w:tcPr>
          <w:p>
            <w:pPr>
              <w:pStyle w:val="28"/>
            </w:pPr>
            <w:r>
              <w:t>验收合格率=验收合格的设备数量/当年购置设备数量*100%</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购置完成时限</w:t>
            </w:r>
          </w:p>
        </w:tc>
        <w:tc>
          <w:tcPr>
            <w:tcW w:w="2835" w:type="dxa"/>
            <w:vAlign w:val="center"/>
          </w:tcPr>
          <w:p>
            <w:pPr>
              <w:pStyle w:val="28"/>
            </w:pPr>
            <w:r>
              <w:t>购置完成时限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提升公共服务水平</w:t>
            </w:r>
          </w:p>
        </w:tc>
        <w:tc>
          <w:tcPr>
            <w:tcW w:w="2835" w:type="dxa"/>
            <w:vAlign w:val="center"/>
          </w:tcPr>
          <w:p>
            <w:pPr>
              <w:pStyle w:val="28"/>
            </w:pPr>
            <w:r>
              <w:t>购置对公共服务水平的提升情况</w:t>
            </w:r>
          </w:p>
        </w:tc>
        <w:tc>
          <w:tcPr>
            <w:tcW w:w="2551" w:type="dxa"/>
            <w:vAlign w:val="center"/>
          </w:tcPr>
          <w:p>
            <w:pPr>
              <w:pStyle w:val="28"/>
            </w:pPr>
            <w:r>
              <w:t>有所提升</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2、法律培训会议绩效目标表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1.做好专项会议工作，保障单位业务开展。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会议出勤率（%）</w:t>
            </w:r>
          </w:p>
        </w:tc>
        <w:tc>
          <w:tcPr>
            <w:tcW w:w="2835" w:type="dxa"/>
            <w:vAlign w:val="center"/>
          </w:tcPr>
          <w:p>
            <w:pPr>
              <w:pStyle w:val="28"/>
            </w:pPr>
            <w:r>
              <w:t>会议出勤率=实际出勤学员数量/参加会议人员数量*100%</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会议合格率（%）</w:t>
            </w:r>
          </w:p>
        </w:tc>
        <w:tc>
          <w:tcPr>
            <w:tcW w:w="2835" w:type="dxa"/>
            <w:vAlign w:val="center"/>
          </w:tcPr>
          <w:p>
            <w:pPr>
              <w:pStyle w:val="28"/>
            </w:pPr>
            <w:r>
              <w:t>会议合格率（%）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完成时限</w:t>
            </w:r>
          </w:p>
        </w:tc>
        <w:tc>
          <w:tcPr>
            <w:tcW w:w="2835" w:type="dxa"/>
            <w:vAlign w:val="center"/>
          </w:tcPr>
          <w:p>
            <w:pPr>
              <w:pStyle w:val="28"/>
            </w:pPr>
            <w:r>
              <w:t>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会议内容有效落实</w:t>
            </w:r>
          </w:p>
        </w:tc>
        <w:tc>
          <w:tcPr>
            <w:tcW w:w="2835" w:type="dxa"/>
            <w:vAlign w:val="center"/>
          </w:tcPr>
          <w:p>
            <w:pPr>
              <w:pStyle w:val="28"/>
            </w:pPr>
            <w:r>
              <w:t>会议内容有效落实</w:t>
            </w:r>
          </w:p>
        </w:tc>
        <w:tc>
          <w:tcPr>
            <w:tcW w:w="2551" w:type="dxa"/>
            <w:vAlign w:val="center"/>
          </w:tcPr>
          <w:p>
            <w:pPr>
              <w:pStyle w:val="28"/>
            </w:pPr>
            <w:r>
              <w:t>有效落实</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3、会展办公室经费绩效目标表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1.做好业务调研工作，保障单位业务开展。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调研完成率</w:t>
            </w:r>
          </w:p>
        </w:tc>
        <w:tc>
          <w:tcPr>
            <w:tcW w:w="2835" w:type="dxa"/>
            <w:vAlign w:val="center"/>
          </w:tcPr>
          <w:p>
            <w:pPr>
              <w:pStyle w:val="28"/>
            </w:pPr>
            <w:r>
              <w:t>调研完成率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调研合格率</w:t>
            </w:r>
          </w:p>
        </w:tc>
        <w:tc>
          <w:tcPr>
            <w:tcW w:w="2835" w:type="dxa"/>
            <w:vAlign w:val="center"/>
          </w:tcPr>
          <w:p>
            <w:pPr>
              <w:pStyle w:val="28"/>
            </w:pPr>
            <w:r>
              <w:t>调研合格率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调研完成时限</w:t>
            </w:r>
          </w:p>
        </w:tc>
        <w:tc>
          <w:tcPr>
            <w:tcW w:w="2835" w:type="dxa"/>
            <w:vAlign w:val="center"/>
          </w:tcPr>
          <w:p>
            <w:pPr>
              <w:pStyle w:val="28"/>
            </w:pPr>
            <w:r>
              <w:t>调研完成时限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意见建议采纳率（%）</w:t>
            </w:r>
          </w:p>
        </w:tc>
        <w:tc>
          <w:tcPr>
            <w:tcW w:w="2835" w:type="dxa"/>
            <w:vAlign w:val="center"/>
          </w:tcPr>
          <w:p>
            <w:pPr>
              <w:pStyle w:val="28"/>
            </w:pPr>
            <w:r>
              <w:t>被采纳的意见建议数量占总数量的比率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4、会展业发展专项资金绩效评价绩效目标表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1.做好其他专项支出,保障单位业务开展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工作完成率(%)</w:t>
            </w:r>
          </w:p>
        </w:tc>
        <w:tc>
          <w:tcPr>
            <w:tcW w:w="2835" w:type="dxa"/>
            <w:vAlign w:val="center"/>
          </w:tcPr>
          <w:p>
            <w:pPr>
              <w:pStyle w:val="28"/>
            </w:pPr>
            <w:r>
              <w:t>工作完成率(%)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工作合格率(%)</w:t>
            </w:r>
          </w:p>
        </w:tc>
        <w:tc>
          <w:tcPr>
            <w:tcW w:w="2835" w:type="dxa"/>
            <w:vAlign w:val="center"/>
          </w:tcPr>
          <w:p>
            <w:pPr>
              <w:pStyle w:val="28"/>
            </w:pPr>
            <w:r>
              <w:t>工作合格率(%)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完成时限</w:t>
            </w:r>
          </w:p>
        </w:tc>
        <w:tc>
          <w:tcPr>
            <w:tcW w:w="2835" w:type="dxa"/>
            <w:vAlign w:val="center"/>
          </w:tcPr>
          <w:p>
            <w:pPr>
              <w:pStyle w:val="28"/>
            </w:pPr>
            <w:r>
              <w:t>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保障工作正常开展</w:t>
            </w:r>
          </w:p>
        </w:tc>
        <w:tc>
          <w:tcPr>
            <w:tcW w:w="2835" w:type="dxa"/>
            <w:vAlign w:val="center"/>
          </w:tcPr>
          <w:p>
            <w:pPr>
              <w:pStyle w:val="28"/>
            </w:pPr>
            <w:r>
              <w:t>保障工作正常开展</w:t>
            </w:r>
          </w:p>
        </w:tc>
        <w:tc>
          <w:tcPr>
            <w:tcW w:w="2551" w:type="dxa"/>
            <w:vAlign w:val="center"/>
          </w:tcPr>
          <w:p>
            <w:pPr>
              <w:pStyle w:val="28"/>
            </w:pPr>
            <w:r>
              <w:t>保障工作正常开展</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5、商会工作会议绩效目标表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1.做好专项会议工作，保障单位业务开展。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会议出勤率（%）</w:t>
            </w:r>
          </w:p>
        </w:tc>
        <w:tc>
          <w:tcPr>
            <w:tcW w:w="2835" w:type="dxa"/>
            <w:vAlign w:val="center"/>
          </w:tcPr>
          <w:p>
            <w:pPr>
              <w:pStyle w:val="28"/>
            </w:pPr>
            <w:r>
              <w:t>会议出勤率=实际出勤学员数量/参加会议人员数量*100%</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会议合格率（%）</w:t>
            </w:r>
          </w:p>
        </w:tc>
        <w:tc>
          <w:tcPr>
            <w:tcW w:w="2835" w:type="dxa"/>
            <w:vAlign w:val="center"/>
          </w:tcPr>
          <w:p>
            <w:pPr>
              <w:pStyle w:val="28"/>
            </w:pPr>
            <w:r>
              <w:t>会议合格率（%）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完成时限</w:t>
            </w:r>
          </w:p>
        </w:tc>
        <w:tc>
          <w:tcPr>
            <w:tcW w:w="2835" w:type="dxa"/>
            <w:vAlign w:val="center"/>
          </w:tcPr>
          <w:p>
            <w:pPr>
              <w:pStyle w:val="28"/>
            </w:pPr>
            <w:r>
              <w:t>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会议内容有效落实</w:t>
            </w:r>
          </w:p>
        </w:tc>
        <w:tc>
          <w:tcPr>
            <w:tcW w:w="2835" w:type="dxa"/>
            <w:vAlign w:val="center"/>
          </w:tcPr>
          <w:p>
            <w:pPr>
              <w:pStyle w:val="28"/>
            </w:pPr>
            <w:r>
              <w:t>会议内容有效落实</w:t>
            </w:r>
          </w:p>
        </w:tc>
        <w:tc>
          <w:tcPr>
            <w:tcW w:w="2551" w:type="dxa"/>
            <w:vAlign w:val="center"/>
          </w:tcPr>
          <w:p>
            <w:pPr>
              <w:pStyle w:val="28"/>
            </w:pPr>
            <w:r>
              <w:t>有效落实</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6、涉外商事法律援助资金绩效目标表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1.做好业务调研工作，保障单位业务开展。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调研完成率</w:t>
            </w:r>
          </w:p>
        </w:tc>
        <w:tc>
          <w:tcPr>
            <w:tcW w:w="2835" w:type="dxa"/>
            <w:vAlign w:val="center"/>
          </w:tcPr>
          <w:p>
            <w:pPr>
              <w:pStyle w:val="28"/>
            </w:pPr>
            <w:r>
              <w:t>调研完成率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调研合格率</w:t>
            </w:r>
          </w:p>
        </w:tc>
        <w:tc>
          <w:tcPr>
            <w:tcW w:w="2835" w:type="dxa"/>
            <w:vAlign w:val="center"/>
          </w:tcPr>
          <w:p>
            <w:pPr>
              <w:pStyle w:val="28"/>
            </w:pPr>
            <w:r>
              <w:t>调研合格率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调研完成时限</w:t>
            </w:r>
          </w:p>
        </w:tc>
        <w:tc>
          <w:tcPr>
            <w:tcW w:w="2835" w:type="dxa"/>
            <w:vAlign w:val="center"/>
          </w:tcPr>
          <w:p>
            <w:pPr>
              <w:pStyle w:val="28"/>
            </w:pPr>
            <w:r>
              <w:t>调研完成时限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意见建议采纳率（%）</w:t>
            </w:r>
          </w:p>
        </w:tc>
        <w:tc>
          <w:tcPr>
            <w:tcW w:w="2835" w:type="dxa"/>
            <w:vAlign w:val="center"/>
          </w:tcPr>
          <w:p>
            <w:pPr>
              <w:pStyle w:val="28"/>
            </w:pPr>
            <w:r>
              <w:t>被采纳的意见建议数量占总数量的比率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7、网络维护费绩效目标表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1.主要用于网络信息系统运行维护支出</w:t>
            </w:r>
            <w:r>
              <w:tab/>
            </w:r>
            <w:r>
              <w:tab/>
            </w:r>
            <w:r>
              <w:tab/>
            </w:r>
            <w:r>
              <w:tab/>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网络运行维护覆盖率（%）</w:t>
            </w:r>
          </w:p>
        </w:tc>
        <w:tc>
          <w:tcPr>
            <w:tcW w:w="2835" w:type="dxa"/>
            <w:vAlign w:val="center"/>
          </w:tcPr>
          <w:p>
            <w:pPr>
              <w:pStyle w:val="28"/>
            </w:pPr>
            <w:r>
              <w:t>网络运行维护覆盖率（%）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验收合格合格率（%）</w:t>
            </w:r>
          </w:p>
        </w:tc>
        <w:tc>
          <w:tcPr>
            <w:tcW w:w="2835" w:type="dxa"/>
            <w:vAlign w:val="center"/>
          </w:tcPr>
          <w:p>
            <w:pPr>
              <w:pStyle w:val="28"/>
            </w:pPr>
            <w:r>
              <w:t>验收合格合格率（%）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完成时限</w:t>
            </w:r>
          </w:p>
        </w:tc>
        <w:tc>
          <w:tcPr>
            <w:tcW w:w="2835" w:type="dxa"/>
            <w:vAlign w:val="center"/>
          </w:tcPr>
          <w:p>
            <w:pPr>
              <w:pStyle w:val="28"/>
            </w:pPr>
            <w:r>
              <w:t>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设备使用率（%）</w:t>
            </w:r>
          </w:p>
        </w:tc>
        <w:tc>
          <w:tcPr>
            <w:tcW w:w="2835" w:type="dxa"/>
            <w:vAlign w:val="center"/>
          </w:tcPr>
          <w:p>
            <w:pPr>
              <w:pStyle w:val="28"/>
            </w:pPr>
            <w:r>
              <w:t>设备使用率（%）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8、业务培训费绩效目标表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1.做好工作业务培训，保障单位业务开展。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培训出勤率（%）</w:t>
            </w:r>
          </w:p>
        </w:tc>
        <w:tc>
          <w:tcPr>
            <w:tcW w:w="2835" w:type="dxa"/>
            <w:vAlign w:val="center"/>
          </w:tcPr>
          <w:p>
            <w:pPr>
              <w:pStyle w:val="28"/>
            </w:pPr>
            <w:r>
              <w:t>培训出勤率=实际出勤学员数量/参加培训学员数量*100%</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培训合格率（%）</w:t>
            </w:r>
          </w:p>
        </w:tc>
        <w:tc>
          <w:tcPr>
            <w:tcW w:w="2835" w:type="dxa"/>
            <w:vAlign w:val="center"/>
          </w:tcPr>
          <w:p>
            <w:pPr>
              <w:pStyle w:val="28"/>
            </w:pPr>
            <w:r>
              <w:t>培训合格率=培训合格的学员数量/培训总学员数量*100%</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完成时限</w:t>
            </w:r>
          </w:p>
        </w:tc>
        <w:tc>
          <w:tcPr>
            <w:tcW w:w="2835" w:type="dxa"/>
            <w:vAlign w:val="center"/>
          </w:tcPr>
          <w:p>
            <w:pPr>
              <w:pStyle w:val="28"/>
            </w:pPr>
            <w:r>
              <w:t>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受训学员业务应用情况</w:t>
            </w:r>
          </w:p>
        </w:tc>
        <w:tc>
          <w:tcPr>
            <w:tcW w:w="2835" w:type="dxa"/>
            <w:vAlign w:val="center"/>
          </w:tcPr>
          <w:p>
            <w:pPr>
              <w:pStyle w:val="28"/>
            </w:pPr>
            <w:r>
              <w:t>培训内容对受训学员实际工作上的提升效果</w:t>
            </w:r>
          </w:p>
        </w:tc>
        <w:tc>
          <w:tcPr>
            <w:tcW w:w="2551" w:type="dxa"/>
            <w:vAlign w:val="center"/>
          </w:tcPr>
          <w:p>
            <w:pPr>
              <w:pStyle w:val="28"/>
            </w:pPr>
            <w:r>
              <w:t>有所提升</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9、原产地认证工作经费绩效目标表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1.做好业务调研工作，保障单位业务开展。</w:t>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调研完成率</w:t>
            </w:r>
          </w:p>
        </w:tc>
        <w:tc>
          <w:tcPr>
            <w:tcW w:w="2835" w:type="dxa"/>
            <w:vAlign w:val="center"/>
          </w:tcPr>
          <w:p>
            <w:pPr>
              <w:pStyle w:val="28"/>
            </w:pPr>
            <w:r>
              <w:t>调研完成率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调研合格率</w:t>
            </w:r>
          </w:p>
        </w:tc>
        <w:tc>
          <w:tcPr>
            <w:tcW w:w="2835" w:type="dxa"/>
            <w:vAlign w:val="center"/>
          </w:tcPr>
          <w:p>
            <w:pPr>
              <w:pStyle w:val="28"/>
            </w:pPr>
            <w:r>
              <w:t>调研合格率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调研完成时限</w:t>
            </w:r>
          </w:p>
        </w:tc>
        <w:tc>
          <w:tcPr>
            <w:tcW w:w="2835" w:type="dxa"/>
            <w:vAlign w:val="center"/>
          </w:tcPr>
          <w:p>
            <w:pPr>
              <w:pStyle w:val="28"/>
            </w:pPr>
            <w:r>
              <w:t>调研完成时限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意见建议采纳率（%）</w:t>
            </w:r>
          </w:p>
        </w:tc>
        <w:tc>
          <w:tcPr>
            <w:tcW w:w="2835" w:type="dxa"/>
            <w:vAlign w:val="center"/>
          </w:tcPr>
          <w:p>
            <w:pPr>
              <w:pStyle w:val="28"/>
            </w:pPr>
            <w:r>
              <w:t>被采纳的意见建议数量占总数量的比率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pPr>
    </w:p>
    <w:p>
      <w:pPr>
        <w:pStyle w:val="26"/>
        <w:ind w:firstLine="560"/>
      </w:pPr>
      <w:r>
        <w:rPr>
          <w:rFonts w:ascii="方正仿宋_GBK" w:hAnsi="方正仿宋_GBK" w:eastAsia="方正仿宋_GBK" w:cs="方正仿宋_GBK"/>
          <w:b/>
          <w:color w:val="000000"/>
          <w:sz w:val="28"/>
        </w:rPr>
        <w:t>10、招商引资宣传推广费绩效目标表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1.做好工作宣传，保障单位业务开展。</w:t>
            </w:r>
            <w:r>
              <w:tab/>
            </w:r>
            <w:r>
              <w:tab/>
            </w:r>
            <w:r>
              <w:tab/>
            </w:r>
            <w:r>
              <w:tab/>
            </w:r>
          </w:p>
        </w:tc>
      </w:tr>
    </w:tbl>
    <w:p>
      <w:pPr>
        <w:pStyle w:val="26"/>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宣传覆盖率（%）</w:t>
            </w:r>
          </w:p>
        </w:tc>
        <w:tc>
          <w:tcPr>
            <w:tcW w:w="2835" w:type="dxa"/>
            <w:vAlign w:val="center"/>
          </w:tcPr>
          <w:p>
            <w:pPr>
              <w:pStyle w:val="28"/>
            </w:pPr>
            <w:r>
              <w:t>宣传覆盖率（%）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宣传完成率（%）</w:t>
            </w:r>
          </w:p>
        </w:tc>
        <w:tc>
          <w:tcPr>
            <w:tcW w:w="2835" w:type="dxa"/>
            <w:vAlign w:val="center"/>
          </w:tcPr>
          <w:p>
            <w:pPr>
              <w:pStyle w:val="28"/>
            </w:pPr>
            <w:r>
              <w:t>宣传完成率（%）</w:t>
            </w:r>
          </w:p>
        </w:tc>
        <w:tc>
          <w:tcPr>
            <w:tcW w:w="2551" w:type="dxa"/>
            <w:vAlign w:val="center"/>
          </w:tcPr>
          <w:p>
            <w:pPr>
              <w:pStyle w:val="28"/>
            </w:pPr>
            <w:r>
              <w:t>100%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完成时限</w:t>
            </w:r>
          </w:p>
        </w:tc>
        <w:tc>
          <w:tcPr>
            <w:tcW w:w="2835" w:type="dxa"/>
            <w:vAlign w:val="center"/>
          </w:tcPr>
          <w:p>
            <w:pPr>
              <w:pStyle w:val="28"/>
            </w:pPr>
            <w:r>
              <w:t>完成时限</w:t>
            </w:r>
          </w:p>
        </w:tc>
        <w:tc>
          <w:tcPr>
            <w:tcW w:w="2551" w:type="dxa"/>
            <w:vAlign w:val="center"/>
          </w:tcPr>
          <w:p>
            <w:pPr>
              <w:pStyle w:val="28"/>
            </w:pPr>
            <w:r>
              <w:t>2022年12月31日</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宣传影响力</w:t>
            </w:r>
          </w:p>
        </w:tc>
        <w:tc>
          <w:tcPr>
            <w:tcW w:w="2835" w:type="dxa"/>
            <w:vAlign w:val="center"/>
          </w:tcPr>
          <w:p>
            <w:pPr>
              <w:pStyle w:val="28"/>
            </w:pPr>
            <w:r>
              <w:t>宣传影响力</w:t>
            </w:r>
          </w:p>
        </w:tc>
        <w:tc>
          <w:tcPr>
            <w:tcW w:w="2551" w:type="dxa"/>
            <w:vAlign w:val="center"/>
          </w:tcPr>
          <w:p>
            <w:pPr>
              <w:pStyle w:val="28"/>
            </w:pPr>
            <w:r>
              <w:t>有所提升</w:t>
            </w:r>
          </w:p>
        </w:tc>
        <w:tc>
          <w:tcPr>
            <w:tcW w:w="2268"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p>
        </w:tc>
      </w:tr>
    </w:tbl>
    <w:p>
      <w:pPr>
        <w:pStyle w:val="26"/>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2022年，中国国际贸易促进委员会唐山市委员会安排政府采购预算0.00万元。具体内容见下表。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224中国国际贸易促进委员会唐山市委员会</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中国国际贸易促进委员会唐山市委员会（含所属单位）上年末固定资产金额为</w:t>
      </w:r>
      <w:r>
        <w:rPr>
          <w:rFonts w:hint="eastAsia" w:eastAsia="方正仿宋_GBK"/>
          <w:color w:val="000000"/>
          <w:sz w:val="28"/>
          <w:lang w:val="en-US" w:eastAsia="zh-CN"/>
        </w:rPr>
        <w:t>110.60</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ascii="方正小标宋_GBK" w:eastAsia="方正小标宋_GBK"/>
                <w:sz w:val="24"/>
              </w:rPr>
              <w:t>224中国国际贸易促进委员会唐山市委员会</w:t>
            </w:r>
            <w:r>
              <w:rPr>
                <w:rFonts w:hint="eastAsia" w:ascii="方正小标宋_GBK" w:eastAsia="方正小标宋_GBK"/>
                <w:sz w:val="24"/>
                <w:lang w:eastAsia="zh-CN"/>
              </w:rPr>
              <w:t>本级</w:t>
            </w:r>
          </w:p>
        </w:tc>
        <w:tc>
          <w:tcPr>
            <w:tcW w:w="5670"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w:t>
            </w:r>
            <w:r>
              <w:rPr>
                <w:rFonts w:hint="eastAsia" w:ascii="方正小标宋_GBK" w:eastAsia="方正小标宋_GBK"/>
                <w:sz w:val="24"/>
              </w:rPr>
              <w:t>1</w:t>
            </w:r>
            <w:r>
              <w:rPr>
                <w:rFonts w:ascii="方正小标宋_GBK" w:eastAsia="方正小标宋_GBK"/>
                <w:sz w:val="24"/>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center"/>
              <w:rPr>
                <w:rFonts w:ascii="方正书宋_GBK" w:eastAsia="方正书宋_GBK"/>
              </w:rPr>
            </w:pPr>
            <w:r>
              <w:rPr>
                <w:rFonts w:hint="eastAsia" w:ascii="宋体" w:hAnsi="宋体" w:cs="宋体"/>
                <w:kern w:val="0"/>
                <w:sz w:val="22"/>
              </w:rPr>
              <w:t>资产总额</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210</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110.60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1、房屋（平方米）</w:t>
            </w:r>
          </w:p>
        </w:tc>
        <w:tc>
          <w:tcPr>
            <w:tcW w:w="2835" w:type="dxa"/>
            <w:noWrap w:val="0"/>
            <w:vAlign w:val="center"/>
          </w:tcPr>
          <w:p>
            <w:pPr>
              <w:widowControl/>
              <w:jc w:val="center"/>
              <w:rPr>
                <w:rFonts w:hint="eastAsia" w:ascii="方正书宋_GBK" w:eastAsia="方正书宋_GBK"/>
                <w:lang w:val="en-US" w:eastAsia="zh-CN"/>
              </w:rPr>
            </w:pPr>
            <w:r>
              <w:rPr>
                <w:rFonts w:hint="eastAsia" w:ascii="方正书宋_GBK" w:eastAsia="方正书宋_GBK"/>
                <w:lang w:val="en-US" w:eastAsia="zh-CN"/>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 xml:space="preserve">  其中：办公用房（平方米）</w:t>
            </w:r>
          </w:p>
        </w:tc>
        <w:tc>
          <w:tcPr>
            <w:tcW w:w="2835" w:type="dxa"/>
            <w:noWrap w:val="0"/>
            <w:vAlign w:val="center"/>
          </w:tcPr>
          <w:p>
            <w:pPr>
              <w:widowControl/>
              <w:jc w:val="center"/>
              <w:rPr>
                <w:rFonts w:hint="eastAsia" w:ascii="方正书宋_GBK" w:eastAsia="方正书宋_GBK"/>
                <w:lang w:val="en-US" w:eastAsia="zh-CN"/>
              </w:rPr>
            </w:pPr>
            <w:r>
              <w:rPr>
                <w:rFonts w:hint="eastAsia" w:ascii="方正书宋_GBK" w:eastAsia="方正书宋_GBK"/>
                <w:lang w:val="en-US" w:eastAsia="zh-CN"/>
              </w:rPr>
              <w:t>0</w:t>
            </w:r>
            <w:bookmarkStart w:id="18" w:name="_GoBack"/>
            <w:bookmarkEnd w:id="18"/>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2、车辆（台、辆）</w:t>
            </w:r>
          </w:p>
        </w:tc>
        <w:tc>
          <w:tcPr>
            <w:tcW w:w="2835" w:type="dxa"/>
            <w:noWrap w:val="0"/>
            <w:vAlign w:val="center"/>
          </w:tcPr>
          <w:p>
            <w:pPr>
              <w:widowControl/>
              <w:jc w:val="center"/>
              <w:rPr>
                <w:rFonts w:hint="eastAsia" w:ascii="方正书宋_GBK" w:eastAsia="方正书宋_GBK"/>
                <w:lang w:eastAsia="zh-CN"/>
              </w:rPr>
            </w:pPr>
            <w:r>
              <w:rPr>
                <w:rFonts w:hint="eastAsia" w:ascii="宋体" w:hAnsi="宋体" w:eastAsia="方正书宋_GBK" w:cs="宋体"/>
                <w:kern w:val="0"/>
                <w:sz w:val="22"/>
                <w:lang w:val="en-US" w:eastAsia="zh-CN"/>
              </w:rPr>
              <w:t>1</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23.98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3、单价在20万元以上设备</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4、其他固定资产</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209</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86.62</w:t>
            </w:r>
          </w:p>
        </w:tc>
      </w:tr>
    </w:tbl>
    <w:p>
      <w:pPr>
        <w:ind w:firstLine="640"/>
      </w:pPr>
      <w:r>
        <w:rPr>
          <w:rFonts w:hint="eastAsia" w:ascii="宋体" w:hAnsi="宋体"/>
          <w:sz w:val="22"/>
          <w:szCs w:val="32"/>
        </w:rPr>
        <w:t xml:space="preserve">        说明：1、办公用房为政府统一安排使用。</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both"/>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roman"/>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AD277B"/>
    <w:multiLevelType w:val="singleLevel"/>
    <w:tmpl w:val="69AD277B"/>
    <w:lvl w:ilvl="0" w:tentative="0">
      <w:start w:val="1"/>
      <w:numFmt w:val="decimalEnclosedCircleChinese"/>
      <w:suff w:val="nothing"/>
      <w:lvlText w:val="%1　"/>
      <w:lvlJc w:val="left"/>
      <w:pPr>
        <w:ind w:left="0" w:firstLine="400"/>
      </w:pPr>
      <w:rPr>
        <w:rFonts w:hint="eastAsia"/>
      </w:rPr>
    </w:lvl>
  </w:abstractNum>
  <w:abstractNum w:abstractNumId="1">
    <w:nsid w:val="7937C50C"/>
    <w:multiLevelType w:val="singleLevel"/>
    <w:tmpl w:val="7937C50C"/>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WYxOTdlYTA4NTZkZWQ3NTI3ZjJhZjVjMmE5NmEifQ=="/>
  </w:docVars>
  <w:rsids>
    <w:rsidRoot w:val="004C2052"/>
    <w:rsid w:val="0037123A"/>
    <w:rsid w:val="004C2052"/>
    <w:rsid w:val="00B347D5"/>
    <w:rsid w:val="129046E5"/>
    <w:rsid w:val="32BB5381"/>
    <w:rsid w:val="41BB2C58"/>
    <w:rsid w:val="48EE21EB"/>
    <w:rsid w:val="4FCD5442"/>
    <w:rsid w:val="68296417"/>
    <w:rsid w:val="6A13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Normal_36c8b55f-80aa-4562-8f67-f086da911fab"/>
    <w:qFormat/>
    <w:uiPriority w:val="0"/>
    <w:rPr>
      <w:rFonts w:ascii="Times New Roman" w:hAnsi="Times New Roman" w:eastAsia="Times New Roman" w:cs="Times New Roman"/>
      <w:sz w:val="24"/>
      <w:szCs w:val="24"/>
      <w:lang w:val="en-US" w:eastAsia="uk-UA" w:bidi="ar-SA"/>
    </w:rPr>
  </w:style>
  <w:style w:type="paragraph" w:customStyle="1" w:styleId="27">
    <w:name w:val="单元格样式1_bae8e050-c2ce-4cb6-bfee-24981b811492"/>
    <w:basedOn w:val="1"/>
    <w:qFormat/>
    <w:uiPriority w:val="0"/>
    <w:pPr>
      <w:jc w:val="center"/>
    </w:pPr>
    <w:rPr>
      <w:rFonts w:ascii="方正书宋_GBK" w:hAnsi="方正书宋_GBK" w:eastAsia="方正书宋_GBK" w:cs="方正书宋_GBK"/>
      <w:b/>
      <w:sz w:val="21"/>
    </w:rPr>
  </w:style>
  <w:style w:type="paragraph" w:customStyle="1" w:styleId="28">
    <w:name w:val="单元格样式2_da66e75f-8fc2-4f20-977a-b7787af33c7b"/>
    <w:basedOn w:val="1"/>
    <w:qFormat/>
    <w:uiPriority w:val="0"/>
    <w:rPr>
      <w:rFonts w:ascii="方正书宋_GBK" w:hAnsi="方正书宋_GBK" w:eastAsia="方正书宋_GBK" w:cs="方正书宋_GBK"/>
      <w:sz w:val="21"/>
    </w:rPr>
  </w:style>
  <w:style w:type="paragraph" w:customStyle="1" w:styleId="29">
    <w:name w:val="单元格样式3_dc4a2828-f062-4984-ae46-552add6e52cc"/>
    <w:basedOn w:val="1"/>
    <w:qFormat/>
    <w:uiPriority w:val="0"/>
    <w:pPr>
      <w:jc w:val="center"/>
    </w:pPr>
    <w:rPr>
      <w:rFonts w:ascii="方正书宋_GBK" w:hAnsi="方正书宋_GBK" w:eastAsia="方正书宋_GBK" w:cs="方正书宋_GBK"/>
      <w:sz w:val="21"/>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2022-02-09T14:50:05Z</dcterms:created>
  <dcterms:modified xsi:type="dcterms:W3CDTF">2022-02-09T06:50:05Z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2022-02-09T14:49:54Z</dcterms:created>
  <dcterms:modified xsi:type="dcterms:W3CDTF">2022-02-09T06:49:53Z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2022-02-09T14:50:12Z</dcterms:created>
  <dcterms:modified xsi:type="dcterms:W3CDTF">2022-02-09T06:50:12Z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2022-02-09T14:50:01Z</dcterms:created>
  <dcterms:modified xsi:type="dcterms:W3CDTF">2022-02-09T06:50:01Z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A8F07-24C8-4FFD-9C5F-0C5F54E545B1}">
  <ds:schemaRefs/>
</ds:datastoreItem>
</file>

<file path=customXml/itemProps3.xml><?xml version="1.0" encoding="utf-8"?>
<ds:datastoreItem xmlns:ds="http://schemas.openxmlformats.org/officeDocument/2006/customXml" ds:itemID="{25F3BEA1-C25D-4641-B456-69A53393FCAE}">
  <ds:schemaRefs/>
</ds:datastoreItem>
</file>

<file path=customXml/itemProps4.xml><?xml version="1.0" encoding="utf-8"?>
<ds:datastoreItem xmlns:ds="http://schemas.openxmlformats.org/officeDocument/2006/customXml" ds:itemID="{B719615B-03CE-4125-8F6C-CDD38DCFE85C}">
  <ds:schemaRefs/>
</ds:datastoreItem>
</file>

<file path=customXml/itemProps5.xml><?xml version="1.0" encoding="utf-8"?>
<ds:datastoreItem xmlns:ds="http://schemas.openxmlformats.org/officeDocument/2006/customXml" ds:itemID="{E8465FB0-841F-4C5A-B629-B4A564A08693}">
  <ds:schemaRefs/>
</ds:datastoreItem>
</file>

<file path=customXml/itemProps6.xml><?xml version="1.0" encoding="utf-8"?>
<ds:datastoreItem xmlns:ds="http://schemas.openxmlformats.org/officeDocument/2006/customXml" ds:itemID="{0B4737E6-6813-4E4F-BA0F-D9E0AE61B95C}">
  <ds:schemaRefs/>
</ds:datastoreItem>
</file>

<file path=customXml/itemProps7.xml><?xml version="1.0" encoding="utf-8"?>
<ds:datastoreItem xmlns:ds="http://schemas.openxmlformats.org/officeDocument/2006/customXml" ds:itemID="{0DCA70C2-2FCB-4546-A765-859B9386D1C9}">
  <ds:schemaRefs/>
</ds:datastoreItem>
</file>

<file path=customXml/itemProps8.xml><?xml version="1.0" encoding="utf-8"?>
<ds:datastoreItem xmlns:ds="http://schemas.openxmlformats.org/officeDocument/2006/customXml" ds:itemID="{4F10DD28-168C-4BB7-85A9-5A8B74781E1F}">
  <ds:schemaRefs/>
</ds:datastoreItem>
</file>

<file path=customXml/itemProps9.xml><?xml version="1.0" encoding="utf-8"?>
<ds:datastoreItem xmlns:ds="http://schemas.openxmlformats.org/officeDocument/2006/customXml" ds:itemID="{6703BD57-14FB-485E-9EB4-764DC83746B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9517</Words>
  <Characters>11196</Characters>
  <Lines>156</Lines>
  <Paragraphs>43</Paragraphs>
  <TotalTime>1</TotalTime>
  <ScaleCrop>false</ScaleCrop>
  <LinksUpToDate>false</LinksUpToDate>
  <CharactersWithSpaces>11385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2022-02-09T06:54:00Z</dcterms:created>
  <dc:creator>lgj</dc:creator>
  <cp:lastModifiedBy>Administrator</cp:lastModifiedBy>
  <cp:lastPrinted>2022-02-10T06:56:00Z</cp:lastPrinted>
  <dcterms:modified xsi:type="dcterms:W3CDTF">2022-05-20T08:10:57Z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C4692C025C0E478992CF8C0BF50A2520</vt:lpwstr>
  </property>
</Properties>
</file>